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Hlk155691399"/>
    <w:bookmarkStart w:id="1" w:name="_Hlk216934621"/>
    <w:bookmarkStart w:id="2" w:name="_Hlk216933813"/>
    <w:bookmarkEnd w:id="0"/>
    <w:p w14:paraId="670FDFA0" w14:textId="77777777" w:rsidR="009C0687" w:rsidRPr="006424CF" w:rsidRDefault="009C0687" w:rsidP="009C0687">
      <w:pPr>
        <w:tabs>
          <w:tab w:val="left" w:pos="1605"/>
          <w:tab w:val="left" w:pos="7903"/>
        </w:tabs>
        <w:outlineLvl w:val="0"/>
        <w:rPr>
          <w:b/>
          <w:noProof/>
          <w:sz w:val="22"/>
          <w:szCs w:val="22"/>
          <w:lang w:val="en-US"/>
        </w:rPr>
      </w:pPr>
      <w:r w:rsidRPr="006424CF">
        <w:rPr>
          <w:b/>
          <w:noProof/>
          <w:sz w:val="26"/>
          <w:szCs w:val="26"/>
          <w:lang w:val="en-US" w:eastAsia="en-US"/>
        </w:rPr>
        <mc:AlternateContent>
          <mc:Choice Requires="wps">
            <w:drawing>
              <wp:anchor distT="0" distB="0" distL="114300" distR="114300" simplePos="0" relativeHeight="251659264" behindDoc="1" locked="0" layoutInCell="1" allowOverlap="1" wp14:anchorId="22EE2B8B" wp14:editId="260934B0">
                <wp:simplePos x="0" y="0"/>
                <wp:positionH relativeFrom="column">
                  <wp:posOffset>4285615</wp:posOffset>
                </wp:positionH>
                <wp:positionV relativeFrom="paragraph">
                  <wp:posOffset>-358775</wp:posOffset>
                </wp:positionV>
                <wp:extent cx="1520190" cy="1467485"/>
                <wp:effectExtent l="3175" t="635" r="63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0190" cy="1467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8C240C" w14:textId="76A2E2DB" w:rsidR="009C0687" w:rsidRDefault="009C0687" w:rsidP="009C0687">
                            <w:pPr>
                              <w:jc w:val="right"/>
                              <w:rPr>
                                <w:rFonts w:ascii="Goudy Old Style" w:hAnsi="Goudy Old Style"/>
                                <w:b/>
                                <w:sz w:val="20"/>
                                <w:szCs w:val="20"/>
                              </w:rPr>
                            </w:pPr>
                            <w:r>
                              <w:rPr>
                                <w:rFonts w:ascii="Goudy Old Style" w:hAnsi="Goudy Old Style"/>
                                <w:b/>
                                <w:sz w:val="20"/>
                                <w:szCs w:val="20"/>
                              </w:rPr>
                              <w:t>JEBSI (Jurnal Ekonomi dan Bisnis SainsIndo)</w:t>
                            </w:r>
                          </w:p>
                          <w:p w14:paraId="61E5DC8C" w14:textId="77777777" w:rsidR="009C0687" w:rsidRDefault="009C0687" w:rsidP="009C0687">
                            <w:pPr>
                              <w:jc w:val="right"/>
                              <w:rPr>
                                <w:rFonts w:ascii="Goudy Old Style" w:hAnsi="Goudy Old Style"/>
                                <w:b/>
                                <w:sz w:val="20"/>
                                <w:szCs w:val="20"/>
                              </w:rPr>
                            </w:pPr>
                          </w:p>
                          <w:p w14:paraId="15C423BF" w14:textId="4F5E7B09" w:rsidR="009C0687" w:rsidRPr="00ED2882" w:rsidRDefault="009C0687" w:rsidP="009C0687">
                            <w:pPr>
                              <w:jc w:val="right"/>
                              <w:rPr>
                                <w:rFonts w:ascii="Goudy Old Style" w:hAnsi="Goudy Old Style"/>
                                <w:b/>
                                <w:sz w:val="20"/>
                                <w:szCs w:val="20"/>
                              </w:rPr>
                            </w:pPr>
                            <w:r>
                              <w:rPr>
                                <w:rFonts w:ascii="Goudy Old Style" w:hAnsi="Goudy Old Style"/>
                                <w:b/>
                                <w:sz w:val="20"/>
                                <w:szCs w:val="20"/>
                              </w:rPr>
                              <w:t>SainsIndo Research Co.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EE2B8B" id="_x0000_t202" coordsize="21600,21600" o:spt="202" path="m,l,21600r21600,l21600,xe">
                <v:stroke joinstyle="miter"/>
                <v:path gradientshapeok="t" o:connecttype="rect"/>
              </v:shapetype>
              <v:shape id="Text Box 2" o:spid="_x0000_s1026" type="#_x0000_t202" style="position:absolute;margin-left:337.45pt;margin-top:-28.25pt;width:119.7pt;height:115.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" stroked="f">
                <v:textbox>
                  <w:txbxContent>
                    <w:p w14:paraId="028C240C" w14:textId="76A2E2DB" w:rsidR="009C0687" w:rsidRDefault="009C0687" w:rsidP="009C0687">
                      <w:pPr>
                        <w:jc w:val="right"/>
                        <w:rPr>
                          <w:rFonts w:ascii="Goudy Old Style" w:hAnsi="Goudy Old Style"/>
                          <w:b/>
                          <w:sz w:val="20"/>
                          <w:szCs w:val="20"/>
                        </w:rPr>
                      </w:pPr>
                      <w:r>
                        <w:rPr>
                          <w:rFonts w:ascii="Goudy Old Style" w:hAnsi="Goudy Old Style"/>
                          <w:b/>
                          <w:sz w:val="20"/>
                          <w:szCs w:val="20"/>
                        </w:rPr>
                        <w:t>JEBSI (Jurnal Ekonomi dan Bisnis SainsIndo)</w:t>
                      </w:r>
                    </w:p>
                    <w:p w14:paraId="61E5DC8C" w14:textId="77777777" w:rsidR="009C0687" w:rsidRDefault="009C0687" w:rsidP="009C0687">
                      <w:pPr>
                        <w:jc w:val="right"/>
                        <w:rPr>
                          <w:rFonts w:ascii="Goudy Old Style" w:hAnsi="Goudy Old Style"/>
                          <w:b/>
                          <w:sz w:val="20"/>
                          <w:szCs w:val="20"/>
                        </w:rPr>
                      </w:pPr>
                    </w:p>
                    <w:p w14:paraId="15C423BF" w14:textId="4F5E7B09" w:rsidR="009C0687" w:rsidRPr="00ED2882" w:rsidRDefault="009C0687" w:rsidP="009C0687">
                      <w:pPr>
                        <w:jc w:val="right"/>
                        <w:rPr>
                          <w:rFonts w:ascii="Goudy Old Style" w:hAnsi="Goudy Old Style"/>
                          <w:b/>
                          <w:sz w:val="20"/>
                          <w:szCs w:val="20"/>
                        </w:rPr>
                      </w:pPr>
                      <w:r>
                        <w:rPr>
                          <w:rFonts w:ascii="Goudy Old Style" w:hAnsi="Goudy Old Style"/>
                          <w:b/>
                          <w:sz w:val="20"/>
                          <w:szCs w:val="20"/>
                        </w:rPr>
                        <w:t>SainsIndo Research Co.</w:t>
                      </w:r>
                    </w:p>
                  </w:txbxContent>
                </v:textbox>
              </v:shape>
            </w:pict>
          </mc:Fallback>
        </mc:AlternateContent>
      </w:r>
      <w:r w:rsidRPr="006424CF">
        <w:rPr>
          <w:b/>
          <w:noProof/>
          <w:sz w:val="22"/>
          <w:szCs w:val="22"/>
          <w:lang w:val="en-US"/>
        </w:rPr>
        <w:tab/>
      </w:r>
    </w:p>
    <w:bookmarkEnd w:id="1"/>
    <w:p w14:paraId="6702DED4" w14:textId="77777777" w:rsidR="009C0687" w:rsidRPr="006424CF" w:rsidRDefault="009C0687" w:rsidP="009C0687">
      <w:pPr>
        <w:outlineLvl w:val="0"/>
        <w:rPr>
          <w:b/>
          <w:noProof/>
          <w:sz w:val="22"/>
          <w:szCs w:val="22"/>
          <w:lang w:val="en-US"/>
        </w:rPr>
      </w:pPr>
    </w:p>
    <w:p w14:paraId="72575DE8" w14:textId="77777777" w:rsidR="009C0687" w:rsidRPr="006424CF" w:rsidRDefault="009C0687" w:rsidP="009C0687">
      <w:pPr>
        <w:spacing w:line="276" w:lineRule="auto"/>
        <w:jc w:val="center"/>
        <w:rPr>
          <w:b/>
          <w:bCs/>
          <w:sz w:val="28"/>
          <w:szCs w:val="28"/>
        </w:rPr>
      </w:pPr>
    </w:p>
    <w:p w14:paraId="71E6C24D" w14:textId="77777777" w:rsidR="00DD55BF" w:rsidRDefault="00DD55BF" w:rsidP="00DD55BF">
      <w:pPr>
        <w:tabs>
          <w:tab w:val="left" w:pos="5175"/>
        </w:tabs>
        <w:rPr>
          <w:b/>
          <w:bCs/>
          <w:sz w:val="28"/>
          <w:szCs w:val="28"/>
        </w:rPr>
      </w:pPr>
      <w:r>
        <w:rPr>
          <w:b/>
          <w:bCs/>
          <w:sz w:val="28"/>
          <w:szCs w:val="28"/>
        </w:rPr>
        <w:t xml:space="preserve">Assessing </w:t>
      </w:r>
      <w:r w:rsidRPr="00DD55BF">
        <w:rPr>
          <w:b/>
          <w:bCs/>
          <w:sz w:val="28"/>
          <w:szCs w:val="28"/>
        </w:rPr>
        <w:t>Students’ Attitudes toward Climate Change</w:t>
      </w:r>
    </w:p>
    <w:p w14:paraId="1DC0081B" w14:textId="77777777" w:rsidR="00DD55BF" w:rsidRDefault="00DD55BF" w:rsidP="00DD55BF">
      <w:pPr>
        <w:tabs>
          <w:tab w:val="left" w:pos="5175"/>
        </w:tabs>
        <w:rPr>
          <w:b/>
          <w:bCs/>
          <w:sz w:val="28"/>
          <w:szCs w:val="28"/>
        </w:rPr>
      </w:pPr>
    </w:p>
    <w:p w14:paraId="0EB1A456" w14:textId="30ABD931" w:rsidR="009C0687" w:rsidRPr="006424CF" w:rsidRDefault="009C0687" w:rsidP="009C0687">
      <w:pPr>
        <w:spacing w:line="276" w:lineRule="auto"/>
        <w:rPr>
          <w:rStyle w:val="AuthorNameHeadingChar"/>
          <w:i w:val="0"/>
          <w:sz w:val="26"/>
          <w:szCs w:val="26"/>
        </w:rPr>
      </w:pPr>
      <w:r w:rsidRPr="006424CF">
        <w:rPr>
          <w:i/>
          <w:iCs/>
        </w:rPr>
        <w:t>Sita Deliyana Firmialy</w:t>
      </w:r>
      <w:r w:rsidRPr="006424CF">
        <w:rPr>
          <w:rStyle w:val="AuthorNameHeadingChar"/>
          <w:sz w:val="26"/>
          <w:szCs w:val="26"/>
          <w:vertAlign w:val="superscript"/>
        </w:rPr>
        <w:t>*</w:t>
      </w:r>
    </w:p>
    <w:p w14:paraId="2CB0C6A3" w14:textId="7EDE8437" w:rsidR="009C0687" w:rsidRDefault="009C0687" w:rsidP="009C0687">
      <w:pPr>
        <w:pStyle w:val="AffiliationHeading"/>
        <w:jc w:val="both"/>
        <w:rPr>
          <w:rFonts w:ascii="Times New Roman" w:hAnsi="Times New Roman"/>
          <w:sz w:val="24"/>
        </w:rPr>
      </w:pPr>
      <w:r w:rsidRPr="006424CF">
        <w:rPr>
          <w:rFonts w:ascii="Times New Roman" w:hAnsi="Times New Roman"/>
          <w:sz w:val="24"/>
        </w:rPr>
        <w:t xml:space="preserve">School of Economic and Business, </w:t>
      </w:r>
      <w:r w:rsidR="00272EDE">
        <w:rPr>
          <w:rFonts w:ascii="Times New Roman" w:hAnsi="Times New Roman"/>
          <w:sz w:val="24"/>
        </w:rPr>
        <w:t xml:space="preserve">Administration Business Program, </w:t>
      </w:r>
      <w:r w:rsidRPr="006424CF">
        <w:rPr>
          <w:rFonts w:ascii="Times New Roman" w:hAnsi="Times New Roman"/>
          <w:sz w:val="24"/>
        </w:rPr>
        <w:t>Telkom University, Bandung, Indonesia</w:t>
      </w:r>
    </w:p>
    <w:p w14:paraId="39832EF6" w14:textId="78AD6C4E" w:rsidR="00E56396" w:rsidRDefault="00E56396" w:rsidP="009C0687">
      <w:pPr>
        <w:pStyle w:val="AffiliationHeading"/>
        <w:jc w:val="both"/>
        <w:rPr>
          <w:rFonts w:ascii="Times New Roman" w:hAnsi="Times New Roman"/>
          <w:sz w:val="24"/>
        </w:rPr>
      </w:pPr>
    </w:p>
    <w:p w14:paraId="77DD75F2" w14:textId="77777777" w:rsidR="00E56396" w:rsidRDefault="00E56396" w:rsidP="00E56396">
      <w:pPr>
        <w:tabs>
          <w:tab w:val="left" w:pos="5175"/>
        </w:tabs>
        <w:rPr>
          <w:i/>
          <w:iCs/>
        </w:rPr>
      </w:pPr>
      <w:r>
        <w:rPr>
          <w:i/>
          <w:iCs/>
        </w:rPr>
        <w:t>Inda Lestari</w:t>
      </w:r>
    </w:p>
    <w:p w14:paraId="0602C2F3" w14:textId="77777777" w:rsidR="00E56396" w:rsidRPr="00CB49D5" w:rsidRDefault="00E56396" w:rsidP="00E56396">
      <w:pPr>
        <w:spacing w:line="276" w:lineRule="auto"/>
      </w:pPr>
      <w:r>
        <w:t xml:space="preserve">Independent Researcher, Bandung, Indonesia </w:t>
      </w:r>
    </w:p>
    <w:p w14:paraId="32FD8579" w14:textId="77777777" w:rsidR="00E56396" w:rsidRDefault="00E56396" w:rsidP="00E56396">
      <w:pPr>
        <w:spacing w:line="276" w:lineRule="auto"/>
        <w:rPr>
          <w:i/>
          <w:iCs/>
        </w:rPr>
      </w:pPr>
    </w:p>
    <w:p w14:paraId="5259B48D" w14:textId="77777777" w:rsidR="009C0687" w:rsidRPr="006424CF" w:rsidRDefault="009C0687" w:rsidP="009C0687">
      <w:pPr>
        <w:rPr>
          <w:lang w:val="en-US"/>
        </w:rPr>
      </w:pPr>
    </w:p>
    <w:p w14:paraId="56706A4D" w14:textId="1E5F409A" w:rsidR="009C0687" w:rsidRDefault="009C0687" w:rsidP="009C0687">
      <w:pPr>
        <w:tabs>
          <w:tab w:val="left" w:pos="3299"/>
        </w:tabs>
        <w:jc w:val="both"/>
        <w:rPr>
          <w:rFonts w:eastAsia="Calibri"/>
          <w:b/>
          <w:lang w:val="en-AU" w:eastAsia="en-US"/>
        </w:rPr>
      </w:pPr>
      <w:r w:rsidRPr="006424CF">
        <w:rPr>
          <w:rFonts w:eastAsia="Calibri"/>
          <w:b/>
          <w:lang w:val="en-AU" w:eastAsia="en-US"/>
        </w:rPr>
        <w:t>Abstract</w:t>
      </w:r>
    </w:p>
    <w:p w14:paraId="473E1369" w14:textId="6DE5E126" w:rsidR="00867A25" w:rsidRDefault="00867A25" w:rsidP="009C0687">
      <w:pPr>
        <w:tabs>
          <w:tab w:val="left" w:pos="3299"/>
        </w:tabs>
        <w:jc w:val="both"/>
        <w:rPr>
          <w:rFonts w:eastAsia="Calibri"/>
          <w:b/>
          <w:lang w:val="en-AU" w:eastAsia="en-US"/>
        </w:rPr>
      </w:pPr>
    </w:p>
    <w:p w14:paraId="58B092C5" w14:textId="1CDAFBBC" w:rsidR="00867A25" w:rsidRDefault="00867A25" w:rsidP="00867A25">
      <w:pPr>
        <w:tabs>
          <w:tab w:val="left" w:pos="3299"/>
        </w:tabs>
        <w:jc w:val="both"/>
        <w:rPr>
          <w:rFonts w:eastAsia="Calibri"/>
          <w:bCs/>
          <w:lang w:val="en-ID" w:eastAsia="en-US"/>
        </w:rPr>
      </w:pPr>
      <w:r w:rsidRPr="00867A25">
        <w:rPr>
          <w:rFonts w:eastAsia="Calibri"/>
          <w:bCs/>
          <w:lang w:val="en-ID" w:eastAsia="en-US"/>
        </w:rPr>
        <w:t>Climate change is a critical global issue that requires public awareness and engagement, particularly among younger and educated populations. This study aims to describe the level of university students’ attitudes toward climate change using a descriptive quantitative approach. Data were collected through an online questionnaire distributed to university students using a five-point Likert scale. The instrument consisted of twelve statements measuring key aspects of climate change attitudes, including concern, awareness, perceived impacts, institutional roles, and individual responsibility. Descriptive statistics</w:t>
      </w:r>
      <w:r>
        <w:rPr>
          <w:rFonts w:eastAsia="Calibri"/>
          <w:bCs/>
          <w:lang w:val="en-ID" w:eastAsia="en-US"/>
        </w:rPr>
        <w:t xml:space="preserve"> (m</w:t>
      </w:r>
      <w:r w:rsidRPr="00867A25">
        <w:rPr>
          <w:rFonts w:eastAsia="Calibri"/>
          <w:bCs/>
          <w:lang w:val="en-ID" w:eastAsia="en-US"/>
        </w:rPr>
        <w:t>ean scores, medians, standard deviations, and percentage distribution</w:t>
      </w:r>
      <w:r>
        <w:rPr>
          <w:rFonts w:eastAsia="Calibri"/>
          <w:bCs/>
          <w:lang w:val="en-ID" w:eastAsia="en-US"/>
        </w:rPr>
        <w:t xml:space="preserve">s) </w:t>
      </w:r>
      <w:r w:rsidRPr="00867A25">
        <w:rPr>
          <w:rFonts w:eastAsia="Calibri"/>
          <w:bCs/>
          <w:lang w:val="en-ID" w:eastAsia="en-US"/>
        </w:rPr>
        <w:t>were used to analyze the data.</w:t>
      </w:r>
    </w:p>
    <w:p w14:paraId="76286C5D" w14:textId="77777777" w:rsidR="00867A25" w:rsidRPr="00867A25" w:rsidRDefault="00867A25" w:rsidP="00867A25">
      <w:pPr>
        <w:tabs>
          <w:tab w:val="left" w:pos="3299"/>
        </w:tabs>
        <w:jc w:val="both"/>
        <w:rPr>
          <w:rFonts w:eastAsia="Calibri"/>
          <w:bCs/>
          <w:lang w:val="en-ID" w:eastAsia="en-US"/>
        </w:rPr>
      </w:pPr>
    </w:p>
    <w:p w14:paraId="1376CC33" w14:textId="77777777" w:rsidR="00867A25" w:rsidRDefault="00867A25" w:rsidP="00867A25">
      <w:pPr>
        <w:tabs>
          <w:tab w:val="left" w:pos="3299"/>
        </w:tabs>
        <w:jc w:val="both"/>
        <w:rPr>
          <w:rFonts w:eastAsia="Calibri"/>
          <w:bCs/>
          <w:lang w:val="en-ID" w:eastAsia="en-US"/>
        </w:rPr>
      </w:pPr>
      <w:r w:rsidRPr="00867A25">
        <w:rPr>
          <w:rFonts w:eastAsia="Calibri"/>
          <w:bCs/>
          <w:lang w:val="en-ID" w:eastAsia="en-US"/>
        </w:rPr>
        <w:t xml:space="preserve">The results indicate that students generally exhibit high levels of concern and positive attitudes toward climate change. The highest mean scores are found for awareness of climate change seriousness and concern about extreme weather events, reflecting strong consensus among respondents. Students also demonstrate strong interest in learning about climate change and support for carbon reduction efforts. </w:t>
      </w:r>
    </w:p>
    <w:p w14:paraId="2909A907" w14:textId="77777777" w:rsidR="00867A25" w:rsidRDefault="00867A25" w:rsidP="00867A25">
      <w:pPr>
        <w:tabs>
          <w:tab w:val="left" w:pos="3299"/>
        </w:tabs>
        <w:jc w:val="both"/>
        <w:rPr>
          <w:rFonts w:eastAsia="Calibri"/>
          <w:bCs/>
          <w:lang w:val="en-ID" w:eastAsia="en-US"/>
        </w:rPr>
      </w:pPr>
    </w:p>
    <w:p w14:paraId="31635CCE" w14:textId="079200BD" w:rsidR="00867A25" w:rsidRPr="00867A25" w:rsidRDefault="00867A25" w:rsidP="00867A25">
      <w:pPr>
        <w:tabs>
          <w:tab w:val="left" w:pos="3299"/>
        </w:tabs>
        <w:jc w:val="both"/>
        <w:rPr>
          <w:rFonts w:eastAsia="Calibri"/>
          <w:bCs/>
          <w:lang w:val="en-ID" w:eastAsia="en-US"/>
        </w:rPr>
      </w:pPr>
      <w:r w:rsidRPr="00867A25">
        <w:rPr>
          <w:rFonts w:eastAsia="Calibri"/>
          <w:bCs/>
          <w:lang w:val="en-ID" w:eastAsia="en-US"/>
        </w:rPr>
        <w:t>However, greater variability appears in items related to the human causes of climate change, environmental policy priorities, and the perceived effectiveness of individual actions. These findings suggest that while concern and awareness are high, differences remain in understanding and confidence regarding responsibility and action.</w:t>
      </w:r>
      <w:r w:rsidR="002379A4">
        <w:rPr>
          <w:rFonts w:eastAsia="Calibri"/>
          <w:bCs/>
          <w:lang w:val="en-ID" w:eastAsia="en-US"/>
        </w:rPr>
        <w:t xml:space="preserve"> </w:t>
      </w:r>
      <w:r w:rsidRPr="00867A25">
        <w:rPr>
          <w:rFonts w:eastAsia="Calibri"/>
          <w:bCs/>
          <w:lang w:val="en-ID" w:eastAsia="en-US"/>
        </w:rPr>
        <w:t>Overall, the study highlights the importance of strengthening climate education to improve understanding of climate change causes and to encourage meaningful engagement among university students.</w:t>
      </w:r>
    </w:p>
    <w:p w14:paraId="26FB6CE9" w14:textId="77777777" w:rsidR="00867A25" w:rsidRPr="006424CF" w:rsidRDefault="00867A25" w:rsidP="009C0687">
      <w:pPr>
        <w:tabs>
          <w:tab w:val="left" w:pos="3299"/>
        </w:tabs>
        <w:jc w:val="both"/>
        <w:rPr>
          <w:rFonts w:eastAsia="Calibri"/>
          <w:b/>
          <w:lang w:val="en-AU" w:eastAsia="en-US"/>
        </w:rPr>
      </w:pPr>
    </w:p>
    <w:p w14:paraId="7D6A5168" w14:textId="17F80F73" w:rsidR="00C02A86" w:rsidRDefault="00C02A86" w:rsidP="009C0687">
      <w:pPr>
        <w:tabs>
          <w:tab w:val="left" w:pos="3299"/>
        </w:tabs>
        <w:jc w:val="both"/>
        <w:rPr>
          <w:rFonts w:eastAsia="Calibri"/>
          <w:b/>
          <w:lang w:val="en-AU" w:eastAsia="en-US"/>
        </w:rPr>
      </w:pPr>
    </w:p>
    <w:p w14:paraId="4834C363" w14:textId="22FE66E6" w:rsidR="00867A25" w:rsidRDefault="00867A25" w:rsidP="009C0687">
      <w:pPr>
        <w:tabs>
          <w:tab w:val="left" w:pos="3299"/>
        </w:tabs>
        <w:jc w:val="both"/>
      </w:pPr>
      <w:r w:rsidRPr="00867A25">
        <w:rPr>
          <w:rStyle w:val="Strong"/>
          <w:rFonts w:eastAsiaTheme="majorEastAsia"/>
          <w:b w:val="0"/>
          <w:bCs w:val="0"/>
          <w:i/>
          <w:iCs/>
        </w:rPr>
        <w:t>Keywords:</w:t>
      </w:r>
      <w:r>
        <w:rPr>
          <w:rStyle w:val="Strong"/>
          <w:rFonts w:eastAsiaTheme="majorEastAsia"/>
          <w:b w:val="0"/>
          <w:bCs w:val="0"/>
          <w:i/>
          <w:iCs/>
        </w:rPr>
        <w:t xml:space="preserve"> </w:t>
      </w:r>
      <w:r>
        <w:t>climate change; students’ attitudes; environmental awareness; descriptive quantitative stu</w:t>
      </w:r>
      <w:r w:rsidR="00810257">
        <w:t>d</w:t>
      </w:r>
      <w:r>
        <w:t>y</w:t>
      </w:r>
    </w:p>
    <w:p w14:paraId="14BE4A1E" w14:textId="77777777" w:rsidR="00810257" w:rsidRDefault="00810257" w:rsidP="009C0687">
      <w:pPr>
        <w:tabs>
          <w:tab w:val="left" w:pos="3299"/>
        </w:tabs>
        <w:jc w:val="both"/>
      </w:pPr>
    </w:p>
    <w:p w14:paraId="5FC0621B" w14:textId="77777777" w:rsidR="00867A25" w:rsidRPr="006424CF" w:rsidRDefault="00867A25" w:rsidP="009C0687">
      <w:pPr>
        <w:tabs>
          <w:tab w:val="left" w:pos="3299"/>
        </w:tabs>
        <w:jc w:val="both"/>
        <w:rPr>
          <w:rFonts w:eastAsia="Calibri"/>
          <w:b/>
          <w:lang w:val="en-AU" w:eastAsia="en-US"/>
        </w:rPr>
      </w:pPr>
    </w:p>
    <w:p w14:paraId="004FEE41" w14:textId="65D83DFF" w:rsidR="00CB49D5" w:rsidRDefault="00CB49D5" w:rsidP="00CB49D5">
      <w:pPr>
        <w:spacing w:line="276" w:lineRule="auto"/>
        <w:jc w:val="both"/>
        <w:rPr>
          <w:b/>
          <w:bCs/>
          <w:lang w:val="en-ID"/>
        </w:rPr>
      </w:pPr>
      <w:bookmarkStart w:id="3" w:name="_Hlk155297010"/>
      <w:r w:rsidRPr="00CB49D5">
        <w:rPr>
          <w:b/>
          <w:bCs/>
          <w:lang w:val="en-ID"/>
        </w:rPr>
        <w:t>Introduction</w:t>
      </w:r>
    </w:p>
    <w:p w14:paraId="33CF44DE" w14:textId="77777777" w:rsidR="00CB49D5" w:rsidRPr="00CB49D5" w:rsidRDefault="00CB49D5" w:rsidP="00CB49D5">
      <w:pPr>
        <w:spacing w:line="276" w:lineRule="auto"/>
        <w:jc w:val="both"/>
        <w:rPr>
          <w:b/>
          <w:bCs/>
          <w:lang w:val="en-ID"/>
        </w:rPr>
      </w:pPr>
    </w:p>
    <w:p w14:paraId="1573D46F" w14:textId="4E8FF071" w:rsidR="00CB49D5" w:rsidRDefault="00CB49D5" w:rsidP="00CB49D5">
      <w:pPr>
        <w:spacing w:line="276" w:lineRule="auto"/>
        <w:jc w:val="both"/>
        <w:rPr>
          <w:lang w:val="en-ID"/>
        </w:rPr>
      </w:pPr>
      <w:r w:rsidRPr="00CB49D5">
        <w:rPr>
          <w:lang w:val="en-ID"/>
        </w:rPr>
        <w:t xml:space="preserve">Climate change represents one of the most pressing global challenges of the twenty-first century. It is characterized by rising global average temperatures, shifting precipitation patterns, sea-level rise, and an increasing frequency and intensity of extreme weather events such as floods, droughts, heatwaves, and storms. Scientific evidence consistently demonstrates that human activities—particularly the extensive use of fossil fuels, deforestation, industrial processes, and unsustainable land-use practices—are the primary drivers of contemporary </w:t>
      </w:r>
      <w:r w:rsidRPr="00CB49D5">
        <w:rPr>
          <w:lang w:val="en-ID"/>
        </w:rPr>
        <w:lastRenderedPageBreak/>
        <w:t>climate change. The impacts of climate change extend far beyond environmental degradation, affecting economic stability, public health, food security, social equity, and long-term sustainable development.</w:t>
      </w:r>
    </w:p>
    <w:p w14:paraId="030805EE" w14:textId="77777777" w:rsidR="00CB49D5" w:rsidRPr="00CB49D5" w:rsidRDefault="00CB49D5" w:rsidP="00CB49D5">
      <w:pPr>
        <w:spacing w:line="276" w:lineRule="auto"/>
        <w:jc w:val="both"/>
        <w:rPr>
          <w:lang w:val="en-ID"/>
        </w:rPr>
      </w:pPr>
    </w:p>
    <w:p w14:paraId="17A96F3C" w14:textId="63E210DE" w:rsidR="00CB49D5" w:rsidRDefault="00CB49D5" w:rsidP="00CB49D5">
      <w:pPr>
        <w:spacing w:line="276" w:lineRule="auto"/>
        <w:jc w:val="both"/>
        <w:rPr>
          <w:lang w:val="en-ID"/>
        </w:rPr>
      </w:pPr>
      <w:r w:rsidRPr="00CB49D5">
        <w:rPr>
          <w:lang w:val="en-ID"/>
        </w:rPr>
        <w:t xml:space="preserve">As a developing country located in a tropical region, Indonesia is particularly vulnerable to the impacts of climate change. Rising sea levels pose serious threats to coastal areas and small islands, while changing climate patterns disrupt agricultural productivity, fisheries, water availability, and disaster resilience. These challenges underscore the urgent need for comprehensive climate change mitigation and adaptation strategies that go beyond technological solutions and government policies. Individual awareness, attitudes, and </w:t>
      </w:r>
      <w:proofErr w:type="spellStart"/>
      <w:r w:rsidRPr="00CB49D5">
        <w:rPr>
          <w:lang w:val="en-ID"/>
        </w:rPr>
        <w:t>behaviors</w:t>
      </w:r>
      <w:proofErr w:type="spellEnd"/>
      <w:r w:rsidRPr="00CB49D5">
        <w:rPr>
          <w:lang w:val="en-ID"/>
        </w:rPr>
        <w:t xml:space="preserve"> play a crucial role in determining the effectiveness of climate action at the societal level. Without public engagement and </w:t>
      </w:r>
      <w:r w:rsidR="009F3DBC" w:rsidRPr="00CB49D5">
        <w:rPr>
          <w:lang w:val="en-ID"/>
        </w:rPr>
        <w:t>behavioural</w:t>
      </w:r>
      <w:r w:rsidRPr="00CB49D5">
        <w:rPr>
          <w:lang w:val="en-ID"/>
        </w:rPr>
        <w:t xml:space="preserve"> change, policy interventions alone may be insufficient to address the scale and complexity of the climate crisis.</w:t>
      </w:r>
    </w:p>
    <w:p w14:paraId="7E84FAA1" w14:textId="77777777" w:rsidR="00CB49D5" w:rsidRPr="00CB49D5" w:rsidRDefault="00CB49D5" w:rsidP="00CB49D5">
      <w:pPr>
        <w:spacing w:line="276" w:lineRule="auto"/>
        <w:jc w:val="both"/>
        <w:rPr>
          <w:lang w:val="en-ID"/>
        </w:rPr>
      </w:pPr>
    </w:p>
    <w:p w14:paraId="5A1D0886" w14:textId="16866524" w:rsidR="00CB49D5" w:rsidRDefault="00CB49D5" w:rsidP="00CB49D5">
      <w:pPr>
        <w:spacing w:line="276" w:lineRule="auto"/>
        <w:jc w:val="both"/>
        <w:rPr>
          <w:lang w:val="en-ID"/>
        </w:rPr>
      </w:pPr>
      <w:r w:rsidRPr="00CB49D5">
        <w:rPr>
          <w:lang w:val="en-ID"/>
        </w:rPr>
        <w:t xml:space="preserve">In this context, university students represent a strategically important social group in addressing climate change. As educated members of the younger generation, students are often regarded as future leaders, professionals, and decision-makers who will shape societal responses to environmental challenges. Their attitudes toward climate change are likely to influence not only their personal </w:t>
      </w:r>
      <w:proofErr w:type="spellStart"/>
      <w:r w:rsidRPr="00CB49D5">
        <w:rPr>
          <w:lang w:val="en-ID"/>
        </w:rPr>
        <w:t>behaviors</w:t>
      </w:r>
      <w:proofErr w:type="spellEnd"/>
      <w:r w:rsidRPr="00CB49D5">
        <w:rPr>
          <w:lang w:val="en-ID"/>
        </w:rPr>
        <w:t xml:space="preserve"> but also their future roles in policymaking, industry, education, and community leadership. Understanding students’ attitudes toward climate change is therefore essential for assessing the readiness of future generations to engage in sustainable practices and support climate-related policies.</w:t>
      </w:r>
    </w:p>
    <w:p w14:paraId="3CE2CB6D" w14:textId="77777777" w:rsidR="00CB49D5" w:rsidRPr="00CB49D5" w:rsidRDefault="00CB49D5" w:rsidP="00CB49D5">
      <w:pPr>
        <w:spacing w:line="276" w:lineRule="auto"/>
        <w:jc w:val="both"/>
        <w:rPr>
          <w:lang w:val="en-ID"/>
        </w:rPr>
      </w:pPr>
    </w:p>
    <w:p w14:paraId="26DCE3C4" w14:textId="394E8DED" w:rsidR="00CB49D5" w:rsidRDefault="00CB49D5" w:rsidP="00CB49D5">
      <w:pPr>
        <w:spacing w:line="276" w:lineRule="auto"/>
        <w:jc w:val="both"/>
        <w:rPr>
          <w:lang w:val="en-ID"/>
        </w:rPr>
      </w:pPr>
      <w:r w:rsidRPr="00CB49D5">
        <w:rPr>
          <w:lang w:val="en-ID"/>
        </w:rPr>
        <w:t xml:space="preserve">Attitudes toward climate change are multidimensional, typically encompassing cognitive, affective, and </w:t>
      </w:r>
      <w:proofErr w:type="spellStart"/>
      <w:r w:rsidRPr="00CB49D5">
        <w:rPr>
          <w:lang w:val="en-ID"/>
        </w:rPr>
        <w:t>behavioral</w:t>
      </w:r>
      <w:proofErr w:type="spellEnd"/>
      <w:r w:rsidRPr="00CB49D5">
        <w:rPr>
          <w:lang w:val="en-ID"/>
        </w:rPr>
        <w:t xml:space="preserve"> components. The cognitive component relates to individuals’ knowledge and understanding of climate change, including its causes, consequences, and possible solutions. The affective component reflects emotional responses such as concern, anxiety, fear, or moral responsibility toward climate-related issues. The </w:t>
      </w:r>
      <w:proofErr w:type="spellStart"/>
      <w:r w:rsidRPr="00CB49D5">
        <w:rPr>
          <w:lang w:val="en-ID"/>
        </w:rPr>
        <w:t>behavioral</w:t>
      </w:r>
      <w:proofErr w:type="spellEnd"/>
      <w:r w:rsidRPr="00CB49D5">
        <w:rPr>
          <w:lang w:val="en-ID"/>
        </w:rPr>
        <w:t xml:space="preserve"> component refers to individuals’ intentions and actions, including energy conservation, waste reduction, sustainable consumption, and support for environmental initiatives. Together, these dimensions shape how individuals perceive climate change and determine whether they are likely to engage in pro-environmental </w:t>
      </w:r>
      <w:r w:rsidR="009F3DBC" w:rsidRPr="00CB49D5">
        <w:rPr>
          <w:lang w:val="en-ID"/>
        </w:rPr>
        <w:t>behaviours</w:t>
      </w:r>
      <w:r w:rsidRPr="00CB49D5">
        <w:rPr>
          <w:lang w:val="en-ID"/>
        </w:rPr>
        <w:t>.</w:t>
      </w:r>
    </w:p>
    <w:p w14:paraId="125308D4" w14:textId="77777777" w:rsidR="00CB49D5" w:rsidRPr="00CB49D5" w:rsidRDefault="00CB49D5" w:rsidP="00CB49D5">
      <w:pPr>
        <w:spacing w:line="276" w:lineRule="auto"/>
        <w:jc w:val="both"/>
        <w:rPr>
          <w:lang w:val="en-ID"/>
        </w:rPr>
      </w:pPr>
    </w:p>
    <w:p w14:paraId="031A8F27" w14:textId="2AEA875A" w:rsidR="00CB49D5" w:rsidRDefault="00CB49D5" w:rsidP="00CB49D5">
      <w:pPr>
        <w:spacing w:line="276" w:lineRule="auto"/>
        <w:jc w:val="both"/>
        <w:rPr>
          <w:lang w:val="en-ID"/>
        </w:rPr>
      </w:pPr>
      <w:r w:rsidRPr="00CB49D5">
        <w:rPr>
          <w:lang w:val="en-ID"/>
        </w:rPr>
        <w:t xml:space="preserve">Previous studies have shown that possessing adequate knowledge about climate change does not necessarily translate into positive environmental behavior. In many cases, individuals who demonstrate relatively high levels of awareness still exhibit limited engagement in climate-friendly actions. This phenomenon suggests the presence of an “attitude–behavior gap,” where positive attitudes do not always result in consistent </w:t>
      </w:r>
      <w:proofErr w:type="spellStart"/>
      <w:r w:rsidRPr="00CB49D5">
        <w:rPr>
          <w:lang w:val="en-ID"/>
        </w:rPr>
        <w:t>behavioral</w:t>
      </w:r>
      <w:proofErr w:type="spellEnd"/>
      <w:r w:rsidRPr="00CB49D5">
        <w:rPr>
          <w:lang w:val="en-ID"/>
        </w:rPr>
        <w:t xml:space="preserve"> change. Factors such as social norms, perceived personal efficacy, economic constraints, trust in institutions, and cultural values can significantly influence how attitudes are formed and expressed. Among university students, these factors may be further shaped by academic background, field of study, exposure to environmental education, peer influence, and participation in campus or community activities.</w:t>
      </w:r>
    </w:p>
    <w:p w14:paraId="025750D4" w14:textId="77777777" w:rsidR="00CB49D5" w:rsidRPr="00CB49D5" w:rsidRDefault="00CB49D5" w:rsidP="00CB49D5">
      <w:pPr>
        <w:spacing w:line="276" w:lineRule="auto"/>
        <w:jc w:val="both"/>
        <w:rPr>
          <w:lang w:val="en-ID"/>
        </w:rPr>
      </w:pPr>
    </w:p>
    <w:p w14:paraId="2CF28072" w14:textId="463E4842" w:rsidR="00CB49D5" w:rsidRDefault="00CB49D5" w:rsidP="00CB49D5">
      <w:pPr>
        <w:spacing w:line="276" w:lineRule="auto"/>
        <w:jc w:val="both"/>
        <w:rPr>
          <w:lang w:val="en-ID"/>
        </w:rPr>
      </w:pPr>
      <w:r w:rsidRPr="00CB49D5">
        <w:rPr>
          <w:lang w:val="en-ID"/>
        </w:rPr>
        <w:lastRenderedPageBreak/>
        <w:t xml:space="preserve">Higher education institutions play a critical role in shaping students’ perspectives on climate change. Universities serve not only as </w:t>
      </w:r>
      <w:proofErr w:type="spellStart"/>
      <w:r w:rsidRPr="00CB49D5">
        <w:rPr>
          <w:lang w:val="en-ID"/>
        </w:rPr>
        <w:t>centers</w:t>
      </w:r>
      <w:proofErr w:type="spellEnd"/>
      <w:r w:rsidRPr="00CB49D5">
        <w:rPr>
          <w:lang w:val="en-ID"/>
        </w:rPr>
        <w:t xml:space="preserve"> of knowledge production but also as spaces for value formation, critical thinking, and civic engagement. In recent years, climate change has increasingly been integrated into university curricula, research agendas, and community outreach programs. However, the extent and depth of this integration vary widely across institutions and disciplines. Students enrolled in environmental or natural science programs may receive more structured exposure to climate-related topics, while those in social sciences, business, or humanities may encounter these issues less directly. As a result, students’ attitudes toward climate change may differ significantly depending on their academic experiences and institutional context.</w:t>
      </w:r>
    </w:p>
    <w:p w14:paraId="5E66DAF3" w14:textId="77777777" w:rsidR="00CB49D5" w:rsidRPr="00CB49D5" w:rsidRDefault="00CB49D5" w:rsidP="00CB49D5">
      <w:pPr>
        <w:spacing w:line="276" w:lineRule="auto"/>
        <w:jc w:val="both"/>
        <w:rPr>
          <w:lang w:val="en-ID"/>
        </w:rPr>
      </w:pPr>
    </w:p>
    <w:p w14:paraId="6E364E82" w14:textId="7E3B8E11" w:rsidR="00CB49D5" w:rsidRDefault="00CB49D5" w:rsidP="00CB49D5">
      <w:pPr>
        <w:spacing w:line="276" w:lineRule="auto"/>
        <w:jc w:val="both"/>
        <w:rPr>
          <w:lang w:val="en-ID"/>
        </w:rPr>
      </w:pPr>
      <w:r w:rsidRPr="00CB49D5">
        <w:rPr>
          <w:lang w:val="en-ID"/>
        </w:rPr>
        <w:t xml:space="preserve">Moreover, contemporary students are immersed in a digital information environment characterized by rapid information exchange through social media, online news platforms, and digital campaigns. While this environment offers unprecedented access to climate-related information and global environmental movements, it also presents challenges such as misinformation, conflicting narratives, and information overload. Exposure to sensationalized or politicized climate discourse may lead to confusion, </w:t>
      </w:r>
      <w:proofErr w:type="spellStart"/>
      <w:r w:rsidRPr="00CB49D5">
        <w:rPr>
          <w:lang w:val="en-ID"/>
        </w:rPr>
        <w:t>skepticism</w:t>
      </w:r>
      <w:proofErr w:type="spellEnd"/>
      <w:r w:rsidRPr="00CB49D5">
        <w:rPr>
          <w:lang w:val="en-ID"/>
        </w:rPr>
        <w:t>, or emotional fatigue, potentially weakening students’ engagement with climate issues. Consequently, examining students’ attitudes toward climate change requires careful consideration of the broader informational and social context in which these attitudes are formed.</w:t>
      </w:r>
    </w:p>
    <w:p w14:paraId="4DC629CC" w14:textId="77777777" w:rsidR="00CB49D5" w:rsidRPr="00CB49D5" w:rsidRDefault="00CB49D5" w:rsidP="00CB49D5">
      <w:pPr>
        <w:spacing w:line="276" w:lineRule="auto"/>
        <w:jc w:val="both"/>
        <w:rPr>
          <w:lang w:val="en-ID"/>
        </w:rPr>
      </w:pPr>
    </w:p>
    <w:p w14:paraId="346ED1CE" w14:textId="77777777" w:rsidR="00CB49D5" w:rsidRPr="00CB49D5" w:rsidRDefault="00CB49D5" w:rsidP="00CB49D5">
      <w:pPr>
        <w:spacing w:line="276" w:lineRule="auto"/>
        <w:jc w:val="both"/>
        <w:rPr>
          <w:lang w:val="en-ID"/>
        </w:rPr>
      </w:pPr>
      <w:r w:rsidRPr="00CB49D5">
        <w:rPr>
          <w:lang w:val="en-ID"/>
        </w:rPr>
        <w:t xml:space="preserve">Research on students’ attitudes toward climate change has grown in recent years, reflecting increasing academic and public concern about environmental sustainability. Many studies focus on measuring students’ levels of knowledge, awareness, or concern regarding climate change. Others examine specific </w:t>
      </w:r>
      <w:proofErr w:type="spellStart"/>
      <w:r w:rsidRPr="00CB49D5">
        <w:rPr>
          <w:lang w:val="en-ID"/>
        </w:rPr>
        <w:t>behaviors</w:t>
      </w:r>
      <w:proofErr w:type="spellEnd"/>
      <w:r w:rsidRPr="00CB49D5">
        <w:rPr>
          <w:lang w:val="en-ID"/>
        </w:rPr>
        <w:t xml:space="preserve">, such as recycling practices, energy use, or participation in environmental activism. However, relatively few studies adopt a comprehensive approach that simultaneously examines the cognitive, affective, and </w:t>
      </w:r>
      <w:proofErr w:type="spellStart"/>
      <w:r w:rsidRPr="00CB49D5">
        <w:rPr>
          <w:lang w:val="en-ID"/>
        </w:rPr>
        <w:t>behavioral</w:t>
      </w:r>
      <w:proofErr w:type="spellEnd"/>
      <w:r w:rsidRPr="00CB49D5">
        <w:rPr>
          <w:lang w:val="en-ID"/>
        </w:rPr>
        <w:t xml:space="preserve"> dimensions of attitudes toward climate change. In addition, empirical research conducted in local or national contexts—particularly in developing countries—remains limited, despite the fact that climate change impacts and socio-cultural conditions vary significantly across regions.</w:t>
      </w:r>
    </w:p>
    <w:p w14:paraId="1A7399FD" w14:textId="3DA403F2" w:rsidR="00CB49D5" w:rsidRDefault="00CB49D5" w:rsidP="00CB49D5">
      <w:pPr>
        <w:spacing w:line="276" w:lineRule="auto"/>
        <w:jc w:val="both"/>
        <w:rPr>
          <w:lang w:val="en-ID"/>
        </w:rPr>
      </w:pPr>
      <w:r w:rsidRPr="00CB49D5">
        <w:rPr>
          <w:lang w:val="en-ID"/>
        </w:rPr>
        <w:t xml:space="preserve">Understanding students’ attitudes toward climate change is not only important from a theoretical perspective but also has practical implications for education policy and sustainability initiatives. Empirical insights into students’ perceptions, concerns, and </w:t>
      </w:r>
      <w:proofErr w:type="spellStart"/>
      <w:r w:rsidRPr="00CB49D5">
        <w:rPr>
          <w:lang w:val="en-ID"/>
        </w:rPr>
        <w:t>behavioral</w:t>
      </w:r>
      <w:proofErr w:type="spellEnd"/>
      <w:r w:rsidRPr="00CB49D5">
        <w:rPr>
          <w:lang w:val="en-ID"/>
        </w:rPr>
        <w:t xml:space="preserve"> intentions can inform the design of more effective environmental education programs that go beyond knowledge transmission and actively foster positive attitudes and </w:t>
      </w:r>
      <w:proofErr w:type="spellStart"/>
      <w:r w:rsidRPr="00CB49D5">
        <w:rPr>
          <w:lang w:val="en-ID"/>
        </w:rPr>
        <w:t>behavioral</w:t>
      </w:r>
      <w:proofErr w:type="spellEnd"/>
      <w:r w:rsidRPr="00CB49D5">
        <w:rPr>
          <w:lang w:val="en-ID"/>
        </w:rPr>
        <w:t xml:space="preserve"> change. Universities can use such findings to develop interdisciplinary curricula, experiential learning opportunities, and campus sustainability programs that engage students more meaningfully with climate issues. Furthermore, policymakers and non-governmental organizations can leverage this knowledge to tailor climate communication strategies and youth engagement initiatives more effectively.</w:t>
      </w:r>
    </w:p>
    <w:p w14:paraId="58382DA2" w14:textId="77777777" w:rsidR="00CB49D5" w:rsidRPr="00CB49D5" w:rsidRDefault="00CB49D5" w:rsidP="00CB49D5">
      <w:pPr>
        <w:spacing w:line="276" w:lineRule="auto"/>
        <w:jc w:val="both"/>
        <w:rPr>
          <w:lang w:val="en-ID"/>
        </w:rPr>
      </w:pPr>
    </w:p>
    <w:p w14:paraId="5FE743B1" w14:textId="1FFD0739" w:rsidR="00CB49D5" w:rsidRDefault="00CB49D5" w:rsidP="00CB49D5">
      <w:pPr>
        <w:spacing w:line="276" w:lineRule="auto"/>
        <w:jc w:val="both"/>
        <w:rPr>
          <w:lang w:val="en-ID"/>
        </w:rPr>
      </w:pPr>
      <w:r w:rsidRPr="00CB49D5">
        <w:rPr>
          <w:lang w:val="en-ID"/>
        </w:rPr>
        <w:t xml:space="preserve">Despite the growing body of literature, gaps remain in understanding how students perceive climate change and what factors influence their attitudes. Differences in socio-demographic characteristics, academic disciplines, and levels of environmental exposure may lead to diverse attitudes and responses among students. Exploring these variations is essential for identifying </w:t>
      </w:r>
      <w:r w:rsidRPr="00CB49D5">
        <w:rPr>
          <w:lang w:val="en-ID"/>
        </w:rPr>
        <w:lastRenderedPageBreak/>
        <w:t>target groups that may require additional support or tailored interventions. Moreover, analyzing students’ attitudes within a specific cultural and educational context can contribute to a more nuanced understanding of how global climate issues are interpreted and addressed at the local level.</w:t>
      </w:r>
    </w:p>
    <w:p w14:paraId="490AC7E9" w14:textId="77777777" w:rsidR="00CB49D5" w:rsidRPr="00CB49D5" w:rsidRDefault="00CB49D5" w:rsidP="00CB49D5">
      <w:pPr>
        <w:spacing w:line="276" w:lineRule="auto"/>
        <w:jc w:val="both"/>
        <w:rPr>
          <w:lang w:val="en-ID"/>
        </w:rPr>
      </w:pPr>
    </w:p>
    <w:p w14:paraId="461CD3C3" w14:textId="58853554" w:rsidR="00CB49D5" w:rsidRDefault="00CB49D5" w:rsidP="00CB49D5">
      <w:pPr>
        <w:spacing w:line="276" w:lineRule="auto"/>
        <w:jc w:val="both"/>
        <w:rPr>
          <w:lang w:val="en-ID"/>
        </w:rPr>
      </w:pPr>
      <w:r w:rsidRPr="00CB49D5">
        <w:rPr>
          <w:lang w:val="en-ID"/>
        </w:rPr>
        <w:t xml:space="preserve">Based on these considerations, this study aims to analyze students’ attitudes toward climate change in a comprehensive manner. The research seeks to assess students’ levels of knowledge, concern, and </w:t>
      </w:r>
      <w:proofErr w:type="spellStart"/>
      <w:r w:rsidRPr="00CB49D5">
        <w:rPr>
          <w:lang w:val="en-ID"/>
        </w:rPr>
        <w:t>behavioral</w:t>
      </w:r>
      <w:proofErr w:type="spellEnd"/>
      <w:r w:rsidRPr="00CB49D5">
        <w:rPr>
          <w:lang w:val="en-ID"/>
        </w:rPr>
        <w:t xml:space="preserve"> tendencies related to climate change, as well as to identify factors that may influence these attitudes. By examining the interplay between cognitive, affective, and </w:t>
      </w:r>
      <w:proofErr w:type="spellStart"/>
      <w:r w:rsidRPr="00CB49D5">
        <w:rPr>
          <w:lang w:val="en-ID"/>
        </w:rPr>
        <w:t>behavioral</w:t>
      </w:r>
      <w:proofErr w:type="spellEnd"/>
      <w:r w:rsidRPr="00CB49D5">
        <w:rPr>
          <w:lang w:val="en-ID"/>
        </w:rPr>
        <w:t xml:space="preserve"> components, this study provides a holistic perspective on how students engage with climate change as a contemporary global issue.</w:t>
      </w:r>
    </w:p>
    <w:p w14:paraId="095BC0B8" w14:textId="77777777" w:rsidR="00CB49D5" w:rsidRPr="00CB49D5" w:rsidRDefault="00CB49D5" w:rsidP="00CB49D5">
      <w:pPr>
        <w:spacing w:line="276" w:lineRule="auto"/>
        <w:jc w:val="both"/>
        <w:rPr>
          <w:lang w:val="en-ID"/>
        </w:rPr>
      </w:pPr>
    </w:p>
    <w:p w14:paraId="5AF4C059" w14:textId="77777777" w:rsidR="00CB49D5" w:rsidRPr="00CB49D5" w:rsidRDefault="00CB49D5" w:rsidP="00CB49D5">
      <w:pPr>
        <w:spacing w:line="276" w:lineRule="auto"/>
        <w:jc w:val="both"/>
        <w:rPr>
          <w:lang w:val="en-ID"/>
        </w:rPr>
      </w:pPr>
      <w:r w:rsidRPr="00CB49D5">
        <w:rPr>
          <w:lang w:val="en-ID"/>
        </w:rPr>
        <w:t>The findings of this study are expected to contribute to the existing literature on environmental attitudes and climate change education. More importantly, they may offer practical insights for higher education institutions seeking to strengthen their role in promoting environmental sustainability and climate responsibility among students. By fostering informed, concerned, and action-oriented attitudes toward climate change, universities can help prepare future generations to respond more effectively to the challenges of a changing climate and to support the broader goals of sustainable development.</w:t>
      </w:r>
    </w:p>
    <w:p w14:paraId="18116FE1" w14:textId="77777777" w:rsidR="009C0687" w:rsidRPr="006424CF" w:rsidRDefault="009C0687" w:rsidP="009C0687">
      <w:pPr>
        <w:spacing w:line="276" w:lineRule="auto"/>
        <w:jc w:val="both"/>
      </w:pPr>
    </w:p>
    <w:p w14:paraId="6FFDDB49" w14:textId="77777777" w:rsidR="009C0687" w:rsidRPr="006424CF" w:rsidRDefault="009C0687" w:rsidP="009C0687">
      <w:pPr>
        <w:spacing w:line="276" w:lineRule="auto"/>
        <w:jc w:val="both"/>
      </w:pPr>
    </w:p>
    <w:p w14:paraId="78D26379" w14:textId="6E63CAD2" w:rsidR="009C0687" w:rsidRPr="006424CF" w:rsidRDefault="009C0687" w:rsidP="009C0687">
      <w:pPr>
        <w:spacing w:line="276" w:lineRule="auto"/>
        <w:jc w:val="both"/>
        <w:rPr>
          <w:b/>
          <w:bCs/>
          <w:i/>
          <w:iCs/>
        </w:rPr>
      </w:pPr>
      <w:r w:rsidRPr="006424CF">
        <w:rPr>
          <w:b/>
          <w:bCs/>
          <w:i/>
          <w:iCs/>
        </w:rPr>
        <w:t>Literature Review</w:t>
      </w:r>
    </w:p>
    <w:p w14:paraId="3A3EFEC9" w14:textId="77777777" w:rsidR="009C0687" w:rsidRPr="006424CF" w:rsidRDefault="009C0687" w:rsidP="009C0687">
      <w:pPr>
        <w:spacing w:line="276" w:lineRule="auto"/>
        <w:jc w:val="both"/>
      </w:pPr>
    </w:p>
    <w:p w14:paraId="4BAC8869" w14:textId="3E74849B" w:rsidR="00CB49D5" w:rsidRDefault="00CB49D5" w:rsidP="00CB49D5">
      <w:pPr>
        <w:spacing w:line="276" w:lineRule="auto"/>
        <w:jc w:val="both"/>
        <w:rPr>
          <w:lang w:val="en-ID"/>
        </w:rPr>
      </w:pPr>
      <w:r w:rsidRPr="00CB49D5">
        <w:rPr>
          <w:lang w:val="en-ID"/>
        </w:rPr>
        <w:t xml:space="preserve">Climate change has been widely recognized as a complex socio-environmental issue that extends beyond scientific and technical dimensions into the realms of public perception, values, and behavior. While scientific consensus on anthropogenic climate change is strong, public attitudes toward climate change vary significantly across regions, social groups, and cultural contexts. Attitudes play a critical role in shaping individual and collective responses to climate change, influencing support for mitigation policies, willingness to adopt sustainable </w:t>
      </w:r>
      <w:proofErr w:type="spellStart"/>
      <w:r w:rsidRPr="00CB49D5">
        <w:rPr>
          <w:lang w:val="en-ID"/>
        </w:rPr>
        <w:t>behaviors</w:t>
      </w:r>
      <w:proofErr w:type="spellEnd"/>
      <w:r w:rsidRPr="00CB49D5">
        <w:rPr>
          <w:lang w:val="en-ID"/>
        </w:rPr>
        <w:t>, and engagement in environmental activism. Consequently, understanding attitudes toward climate change has become a central concern in environmental psychology, sociology, and sustainability studies.</w:t>
      </w:r>
    </w:p>
    <w:p w14:paraId="17100262" w14:textId="77777777" w:rsidR="00CB49D5" w:rsidRPr="00CB49D5" w:rsidRDefault="00CB49D5" w:rsidP="00CB49D5">
      <w:pPr>
        <w:spacing w:line="276" w:lineRule="auto"/>
        <w:jc w:val="both"/>
        <w:rPr>
          <w:lang w:val="en-ID"/>
        </w:rPr>
      </w:pPr>
    </w:p>
    <w:p w14:paraId="34F9F61E" w14:textId="77777777" w:rsidR="00CB49D5" w:rsidRPr="00CB49D5" w:rsidRDefault="00CB49D5" w:rsidP="00CB49D5">
      <w:pPr>
        <w:spacing w:line="276" w:lineRule="auto"/>
        <w:jc w:val="both"/>
        <w:rPr>
          <w:lang w:val="en-ID"/>
        </w:rPr>
      </w:pPr>
      <w:r w:rsidRPr="00CB49D5">
        <w:rPr>
          <w:lang w:val="en-ID"/>
        </w:rPr>
        <w:t xml:space="preserve">Attitudes toward climate change are generally understood as evaluative judgments that reflect individuals’ beliefs, feelings, and </w:t>
      </w:r>
      <w:proofErr w:type="spellStart"/>
      <w:r w:rsidRPr="00CB49D5">
        <w:rPr>
          <w:lang w:val="en-ID"/>
        </w:rPr>
        <w:t>behavioral</w:t>
      </w:r>
      <w:proofErr w:type="spellEnd"/>
      <w:r w:rsidRPr="00CB49D5">
        <w:rPr>
          <w:lang w:val="en-ID"/>
        </w:rPr>
        <w:t xml:space="preserve"> inclinations regarding climate-related issues. These attitudes are shaped by a combination of knowledge, personal experience, social norms, political orientation, media exposure, and trust in scientific and governmental institutions. Research has consistently shown that individuals who perceive climate change as a serious and immediate threat are more likely to support environmental policies and engage in pro-environmental behavior. However, attitude formation is not purely rational and may be influenced by emotional responses, identity, and social context.</w:t>
      </w:r>
    </w:p>
    <w:p w14:paraId="6823BF73" w14:textId="77777777" w:rsidR="00CB49D5" w:rsidRDefault="00CB49D5" w:rsidP="00CB49D5">
      <w:pPr>
        <w:spacing w:line="276" w:lineRule="auto"/>
        <w:jc w:val="both"/>
        <w:rPr>
          <w:lang w:val="en-ID"/>
        </w:rPr>
      </w:pPr>
    </w:p>
    <w:p w14:paraId="2EC29537" w14:textId="604F9569" w:rsidR="00CB49D5" w:rsidRDefault="00CB49D5" w:rsidP="00CB49D5">
      <w:pPr>
        <w:spacing w:line="276" w:lineRule="auto"/>
        <w:jc w:val="both"/>
        <w:rPr>
          <w:lang w:val="en-ID"/>
        </w:rPr>
      </w:pPr>
      <w:r w:rsidRPr="00CB49D5">
        <w:rPr>
          <w:lang w:val="en-ID"/>
        </w:rPr>
        <w:t xml:space="preserve">The theoretical foundation for analyzing attitudes toward climate change often draws from classical attitude theory, which conceptualizes attitudes as comprising three interrelated components: cognitive, affective, and </w:t>
      </w:r>
      <w:proofErr w:type="spellStart"/>
      <w:r w:rsidRPr="00CB49D5">
        <w:rPr>
          <w:lang w:val="en-ID"/>
        </w:rPr>
        <w:t>behavioral</w:t>
      </w:r>
      <w:proofErr w:type="spellEnd"/>
      <w:r w:rsidRPr="00CB49D5">
        <w:rPr>
          <w:lang w:val="en-ID"/>
        </w:rPr>
        <w:t xml:space="preserve">. The cognitive component refers to an </w:t>
      </w:r>
      <w:r w:rsidRPr="00CB49D5">
        <w:rPr>
          <w:lang w:val="en-ID"/>
        </w:rPr>
        <w:lastRenderedPageBreak/>
        <w:t xml:space="preserve">individual’s knowledge and beliefs about climate change, including its causes, impacts, and possible solutions. The affective component captures emotional reactions such as concern, fear, hope, or moral obligation. The </w:t>
      </w:r>
      <w:proofErr w:type="spellStart"/>
      <w:r w:rsidRPr="00CB49D5">
        <w:rPr>
          <w:lang w:val="en-ID"/>
        </w:rPr>
        <w:t>behavioral</w:t>
      </w:r>
      <w:proofErr w:type="spellEnd"/>
      <w:r w:rsidRPr="00CB49D5">
        <w:rPr>
          <w:lang w:val="en-ID"/>
        </w:rPr>
        <w:t xml:space="preserve"> component reflects intentions or actions related to climate change, such as conserving energy, reducing waste, or supporting environmental initiatives.</w:t>
      </w:r>
    </w:p>
    <w:p w14:paraId="147B7BF8" w14:textId="77777777" w:rsidR="00CB49D5" w:rsidRPr="00CB49D5" w:rsidRDefault="00CB49D5" w:rsidP="00CB49D5">
      <w:pPr>
        <w:spacing w:line="276" w:lineRule="auto"/>
        <w:jc w:val="both"/>
        <w:rPr>
          <w:lang w:val="en-ID"/>
        </w:rPr>
      </w:pPr>
    </w:p>
    <w:p w14:paraId="79E32C3A" w14:textId="77777777" w:rsidR="00CB49D5" w:rsidRPr="00CB49D5" w:rsidRDefault="00CB49D5" w:rsidP="00CB49D5">
      <w:pPr>
        <w:spacing w:line="276" w:lineRule="auto"/>
        <w:jc w:val="both"/>
        <w:rPr>
          <w:lang w:val="en-ID"/>
        </w:rPr>
      </w:pPr>
      <w:r w:rsidRPr="00CB49D5">
        <w:rPr>
          <w:lang w:val="en-ID"/>
        </w:rPr>
        <w:t xml:space="preserve">This tripartite model has been widely applied in studies examining environmental attitudes, as it allows for a more nuanced understanding of how individuals engage with climate change. Importantly, research suggests that these components do not always align perfectly. For example, individuals may possess accurate knowledge about climate change but feel emotionally detached or perceive their personal actions as insignificant, resulting in limited </w:t>
      </w:r>
      <w:proofErr w:type="spellStart"/>
      <w:r w:rsidRPr="00CB49D5">
        <w:rPr>
          <w:lang w:val="en-ID"/>
        </w:rPr>
        <w:t>behavioral</w:t>
      </w:r>
      <w:proofErr w:type="spellEnd"/>
      <w:r w:rsidRPr="00CB49D5">
        <w:rPr>
          <w:lang w:val="en-ID"/>
        </w:rPr>
        <w:t xml:space="preserve"> engagement. This misalignment highlights the importance of examining attitudes holistically rather than focusing solely on knowledge or behavior in isolation.</w:t>
      </w:r>
    </w:p>
    <w:p w14:paraId="2CD010F6" w14:textId="77777777" w:rsidR="00CB49D5" w:rsidRDefault="00CB49D5" w:rsidP="00CB49D5">
      <w:pPr>
        <w:spacing w:line="276" w:lineRule="auto"/>
        <w:jc w:val="both"/>
        <w:rPr>
          <w:lang w:val="en-ID"/>
        </w:rPr>
      </w:pPr>
    </w:p>
    <w:p w14:paraId="6AA7B646" w14:textId="18310D18" w:rsidR="00CB49D5" w:rsidRPr="00CB49D5" w:rsidRDefault="00CB49D5" w:rsidP="00CB49D5">
      <w:pPr>
        <w:spacing w:line="276" w:lineRule="auto"/>
        <w:jc w:val="both"/>
        <w:rPr>
          <w:lang w:val="en-ID"/>
        </w:rPr>
      </w:pPr>
      <w:r w:rsidRPr="00CB49D5">
        <w:rPr>
          <w:lang w:val="en-ID"/>
        </w:rPr>
        <w:t>University students represent a particularly important population for studying attitudes toward climate change. As members of younger generations, students will face the long-term consequences of climate change more directly than older cohorts. Moreover, higher education plays a formative role in shaping students’ worldviews, critical thinking skills, and civic engagement. Universities are often expected to act as leaders in promoting sustainability, not only through research and innovation but also through education and institutional practices.</w:t>
      </w:r>
    </w:p>
    <w:p w14:paraId="3F088561" w14:textId="77777777" w:rsidR="00CB49D5" w:rsidRPr="00CB49D5" w:rsidRDefault="00CB49D5" w:rsidP="00CB49D5">
      <w:pPr>
        <w:spacing w:line="276" w:lineRule="auto"/>
        <w:jc w:val="both"/>
        <w:rPr>
          <w:lang w:val="en-ID"/>
        </w:rPr>
      </w:pPr>
      <w:r w:rsidRPr="00CB49D5">
        <w:rPr>
          <w:lang w:val="en-ID"/>
        </w:rPr>
        <w:t>Previous research indicates that students generally exhibit higher levels of awareness and concern about climate change compared to the general population. This heightened awareness is often attributed to greater access to information, exposure to scientific discourse, and participation in academic environments that emphasize global challenges. However, levels of concern and engagement vary widely among students depending on factors such as academic discipline, year of study, socio-economic background, and cultural context. Students in environmental sciences and related fields tend to demonstrate stronger pro-environmental attitudes than those in non-environmental disciplines, suggesting that formal education plays a significant role in shaping attitudes.</w:t>
      </w:r>
    </w:p>
    <w:p w14:paraId="58B7A490" w14:textId="77777777" w:rsidR="00CB49D5" w:rsidRDefault="00CB49D5" w:rsidP="00CB49D5">
      <w:pPr>
        <w:spacing w:line="276" w:lineRule="auto"/>
        <w:jc w:val="both"/>
        <w:rPr>
          <w:lang w:val="en-ID"/>
        </w:rPr>
      </w:pPr>
    </w:p>
    <w:p w14:paraId="06AA7F8C" w14:textId="23D5B619" w:rsidR="00CB49D5" w:rsidRDefault="00CB49D5" w:rsidP="00CB49D5">
      <w:pPr>
        <w:spacing w:line="276" w:lineRule="auto"/>
        <w:jc w:val="both"/>
        <w:rPr>
          <w:lang w:val="en-ID"/>
        </w:rPr>
      </w:pPr>
      <w:r w:rsidRPr="00CB49D5">
        <w:rPr>
          <w:lang w:val="en-ID"/>
        </w:rPr>
        <w:t>A substantial body of literature has examined the relationship between climate change knowledge and attitudes. Knowledge is often considered a prerequisite for positive attitudes and informed decision-making. Studies have shown that individuals with higher levels of climate change knowledge are more likely to recognize its anthropogenic causes, perceive greater risks, and support mitigation efforts. Among students, exposure to climate-related coursework has been associated with increased awareness and concern.</w:t>
      </w:r>
    </w:p>
    <w:p w14:paraId="1C19C636" w14:textId="77777777" w:rsidR="00CB49D5" w:rsidRPr="00CB49D5" w:rsidRDefault="00CB49D5" w:rsidP="00CB49D5">
      <w:pPr>
        <w:spacing w:line="276" w:lineRule="auto"/>
        <w:jc w:val="both"/>
        <w:rPr>
          <w:lang w:val="en-ID"/>
        </w:rPr>
      </w:pPr>
    </w:p>
    <w:p w14:paraId="55EBC98B" w14:textId="77777777" w:rsidR="00CB49D5" w:rsidRPr="00CB49D5" w:rsidRDefault="00CB49D5" w:rsidP="00CB49D5">
      <w:pPr>
        <w:spacing w:line="276" w:lineRule="auto"/>
        <w:jc w:val="both"/>
        <w:rPr>
          <w:lang w:val="en-ID"/>
        </w:rPr>
      </w:pPr>
      <w:r w:rsidRPr="00CB49D5">
        <w:rPr>
          <w:lang w:val="en-ID"/>
        </w:rPr>
        <w:t xml:space="preserve">However, the relationship between knowledge and attitude is not always straightforward. Several studies report that increased knowledge does not automatically lead to stronger pro-environmental behavior. This phenomenon, often referred to as the “knowledge–action gap” or “attitude–behavior gap,” suggests that other factors mediate the translation of knowledge into action. For instance, students may understand the importance of reducing carbon emissions but feel constrained by limited resources, institutional barriers, or perceived lack of impact. These findings indicate that while knowledge is necessary, it is not sufficient on its own to drive meaningful </w:t>
      </w:r>
      <w:proofErr w:type="spellStart"/>
      <w:r w:rsidRPr="00CB49D5">
        <w:rPr>
          <w:lang w:val="en-ID"/>
        </w:rPr>
        <w:t>behavioral</w:t>
      </w:r>
      <w:proofErr w:type="spellEnd"/>
      <w:r w:rsidRPr="00CB49D5">
        <w:rPr>
          <w:lang w:val="en-ID"/>
        </w:rPr>
        <w:t xml:space="preserve"> change.</w:t>
      </w:r>
    </w:p>
    <w:p w14:paraId="61ED014A" w14:textId="77777777" w:rsidR="00CB49D5" w:rsidRDefault="00CB49D5" w:rsidP="00CB49D5">
      <w:pPr>
        <w:spacing w:line="276" w:lineRule="auto"/>
        <w:jc w:val="both"/>
        <w:rPr>
          <w:b/>
          <w:bCs/>
          <w:lang w:val="en-ID"/>
        </w:rPr>
      </w:pPr>
    </w:p>
    <w:p w14:paraId="761762C4" w14:textId="4B8FAD02" w:rsidR="00CB49D5" w:rsidRDefault="00CB49D5" w:rsidP="00CB49D5">
      <w:pPr>
        <w:spacing w:line="276" w:lineRule="auto"/>
        <w:jc w:val="both"/>
        <w:rPr>
          <w:lang w:val="en-ID"/>
        </w:rPr>
      </w:pPr>
      <w:r w:rsidRPr="00CB49D5">
        <w:rPr>
          <w:lang w:val="en-ID"/>
        </w:rPr>
        <w:t>The affective dimension of climate change attitudes has received increasing attention in recent years. Emotions such as fear, anxiety, guilt, and hope play a significant role in shaping how individuals respond to climate-related information. Among students, climate anxiety—a form of distress related to concerns about environmental degradation and future uncertainty—has emerged as a notable phenomenon. While moderate levels of concern may motivate engagement and action, excessive fear or anxiety can lead to feelings of helplessness, denial, or disengagement.</w:t>
      </w:r>
    </w:p>
    <w:p w14:paraId="08EB7261" w14:textId="77777777" w:rsidR="00CB49D5" w:rsidRPr="00CB49D5" w:rsidRDefault="00CB49D5" w:rsidP="00CB49D5">
      <w:pPr>
        <w:spacing w:line="276" w:lineRule="auto"/>
        <w:jc w:val="both"/>
        <w:rPr>
          <w:lang w:val="en-ID"/>
        </w:rPr>
      </w:pPr>
    </w:p>
    <w:p w14:paraId="7A34ED30" w14:textId="77777777" w:rsidR="00CB49D5" w:rsidRPr="00CB49D5" w:rsidRDefault="00CB49D5" w:rsidP="00CB49D5">
      <w:pPr>
        <w:spacing w:line="276" w:lineRule="auto"/>
        <w:jc w:val="both"/>
        <w:rPr>
          <w:lang w:val="en-ID"/>
        </w:rPr>
      </w:pPr>
      <w:r w:rsidRPr="00CB49D5">
        <w:rPr>
          <w:lang w:val="en-ID"/>
        </w:rPr>
        <w:t xml:space="preserve">Research suggests that emotional responses to climate change are closely linked to perceived personal relevance and moral responsibility. Students who view climate change as a threat to their own future or to vulnerable populations are more likely to express concern and support climate action. Conversely, emotional distancing or </w:t>
      </w:r>
      <w:proofErr w:type="spellStart"/>
      <w:r w:rsidRPr="00CB49D5">
        <w:rPr>
          <w:lang w:val="en-ID"/>
        </w:rPr>
        <w:t>skepticism</w:t>
      </w:r>
      <w:proofErr w:type="spellEnd"/>
      <w:r w:rsidRPr="00CB49D5">
        <w:rPr>
          <w:lang w:val="en-ID"/>
        </w:rPr>
        <w:t xml:space="preserve"> may reduce motivation to engage with the issue. Understanding the emotional dimension of students’ attitudes is therefore crucial for designing educational approaches that foster constructive engagement rather than fear-based paralysis.</w:t>
      </w:r>
    </w:p>
    <w:p w14:paraId="55558AE2" w14:textId="77777777" w:rsidR="00CB49D5" w:rsidRDefault="00CB49D5" w:rsidP="00CB49D5">
      <w:pPr>
        <w:spacing w:line="276" w:lineRule="auto"/>
        <w:jc w:val="both"/>
        <w:rPr>
          <w:lang w:val="en-ID"/>
        </w:rPr>
      </w:pPr>
    </w:p>
    <w:p w14:paraId="4B50BB6D" w14:textId="69EE293A" w:rsidR="00CB49D5" w:rsidRPr="00CB49D5" w:rsidRDefault="00CB49D5" w:rsidP="00CB49D5">
      <w:pPr>
        <w:spacing w:line="276" w:lineRule="auto"/>
        <w:jc w:val="both"/>
        <w:rPr>
          <w:lang w:val="en-ID"/>
        </w:rPr>
      </w:pPr>
      <w:r w:rsidRPr="00CB49D5">
        <w:rPr>
          <w:lang w:val="en-ID"/>
        </w:rPr>
        <w:t xml:space="preserve">The </w:t>
      </w:r>
      <w:r w:rsidR="009F3DBC" w:rsidRPr="00CB49D5">
        <w:rPr>
          <w:lang w:val="en-ID"/>
        </w:rPr>
        <w:t>behavioural</w:t>
      </w:r>
      <w:r w:rsidRPr="00CB49D5">
        <w:rPr>
          <w:lang w:val="en-ID"/>
        </w:rPr>
        <w:t xml:space="preserve"> component of climate change attitudes focuses on individuals’ intentions and actions related to environmental sustainability. Commonly studied </w:t>
      </w:r>
      <w:proofErr w:type="spellStart"/>
      <w:r w:rsidRPr="00CB49D5">
        <w:rPr>
          <w:lang w:val="en-ID"/>
        </w:rPr>
        <w:t>behaviors</w:t>
      </w:r>
      <w:proofErr w:type="spellEnd"/>
      <w:r w:rsidRPr="00CB49D5">
        <w:rPr>
          <w:lang w:val="en-ID"/>
        </w:rPr>
        <w:t xml:space="preserve"> include energy conservation, recycling, sustainable consumption, transportation choices, and participation in environmental campaigns. Among students, pro-environmental </w:t>
      </w:r>
      <w:proofErr w:type="spellStart"/>
      <w:r w:rsidRPr="00CB49D5">
        <w:rPr>
          <w:lang w:val="en-ID"/>
        </w:rPr>
        <w:t>behaviors</w:t>
      </w:r>
      <w:proofErr w:type="spellEnd"/>
      <w:r w:rsidRPr="00CB49D5">
        <w:rPr>
          <w:lang w:val="en-ID"/>
        </w:rPr>
        <w:t xml:space="preserve"> are often influenced by campus culture, peer norms, and institutional support. Universities that actively promote sustainability through infrastructure, policies, and student organizations tend to foster higher levels of student engagement in environmental actions.</w:t>
      </w:r>
    </w:p>
    <w:p w14:paraId="73332973" w14:textId="10925C15" w:rsidR="00CB49D5" w:rsidRDefault="00CB49D5" w:rsidP="00CB49D5">
      <w:pPr>
        <w:spacing w:line="276" w:lineRule="auto"/>
        <w:jc w:val="both"/>
        <w:rPr>
          <w:lang w:val="en-ID"/>
        </w:rPr>
      </w:pPr>
      <w:r w:rsidRPr="00CB49D5">
        <w:rPr>
          <w:lang w:val="en-ID"/>
        </w:rPr>
        <w:t xml:space="preserve">Despite generally positive attitudes, many students exhibit inconsistencies between stated intentions and actual behavior. Time constraints, convenience, financial limitations, and social expectations can all hinder the adoption of sustainable practices. Moreover, students may perceive climate change as a global problem that requires systemic solutions, leading them to underestimate the importance of individual actions. These findings highlight the need to examine not only whether students hold positive attitudes but also how these attitudes translate—or fail to translate—into concrete </w:t>
      </w:r>
      <w:proofErr w:type="spellStart"/>
      <w:r w:rsidRPr="00CB49D5">
        <w:rPr>
          <w:lang w:val="en-ID"/>
        </w:rPr>
        <w:t>behaviors</w:t>
      </w:r>
      <w:proofErr w:type="spellEnd"/>
      <w:r w:rsidRPr="00CB49D5">
        <w:rPr>
          <w:lang w:val="en-ID"/>
        </w:rPr>
        <w:t>.</w:t>
      </w:r>
    </w:p>
    <w:p w14:paraId="59E341CE" w14:textId="77777777" w:rsidR="00CB49D5" w:rsidRPr="00CB49D5" w:rsidRDefault="00CB49D5" w:rsidP="00CB49D5">
      <w:pPr>
        <w:spacing w:line="276" w:lineRule="auto"/>
        <w:jc w:val="both"/>
        <w:rPr>
          <w:lang w:val="en-ID"/>
        </w:rPr>
      </w:pPr>
    </w:p>
    <w:p w14:paraId="3E6EF0D0" w14:textId="492D35D8" w:rsidR="00CB49D5" w:rsidRDefault="00CB49D5" w:rsidP="00CB49D5">
      <w:pPr>
        <w:spacing w:line="276" w:lineRule="auto"/>
        <w:jc w:val="both"/>
        <w:rPr>
          <w:lang w:val="en-ID"/>
        </w:rPr>
      </w:pPr>
      <w:r w:rsidRPr="00CB49D5">
        <w:rPr>
          <w:lang w:val="en-ID"/>
        </w:rPr>
        <w:t xml:space="preserve">Social norms and institutional contexts play a critical role in shaping students’ attitudes toward climate change. Peer influence has been shown to significantly affect environmental attitudes and </w:t>
      </w:r>
      <w:proofErr w:type="spellStart"/>
      <w:r w:rsidRPr="00CB49D5">
        <w:rPr>
          <w:lang w:val="en-ID"/>
        </w:rPr>
        <w:t>behaviors</w:t>
      </w:r>
      <w:proofErr w:type="spellEnd"/>
      <w:r w:rsidRPr="00CB49D5">
        <w:rPr>
          <w:lang w:val="en-ID"/>
        </w:rPr>
        <w:t xml:space="preserve">, as students often model their actions on those of their social networks. Supportive peer environments can reinforce pro-environmental norms, while indifferent or </w:t>
      </w:r>
      <w:proofErr w:type="spellStart"/>
      <w:r w:rsidRPr="00CB49D5">
        <w:rPr>
          <w:lang w:val="en-ID"/>
        </w:rPr>
        <w:t>skeptical</w:t>
      </w:r>
      <w:proofErr w:type="spellEnd"/>
      <w:r w:rsidRPr="00CB49D5">
        <w:rPr>
          <w:lang w:val="en-ID"/>
        </w:rPr>
        <w:t xml:space="preserve"> social circles may discourage engagement.</w:t>
      </w:r>
    </w:p>
    <w:p w14:paraId="66777A0E" w14:textId="77777777" w:rsidR="00CB49D5" w:rsidRPr="00CB49D5" w:rsidRDefault="00CB49D5" w:rsidP="00CB49D5">
      <w:pPr>
        <w:spacing w:line="276" w:lineRule="auto"/>
        <w:jc w:val="both"/>
        <w:rPr>
          <w:lang w:val="en-ID"/>
        </w:rPr>
      </w:pPr>
    </w:p>
    <w:p w14:paraId="41194177" w14:textId="77777777" w:rsidR="00CB49D5" w:rsidRPr="00CB49D5" w:rsidRDefault="00CB49D5" w:rsidP="00CB49D5">
      <w:pPr>
        <w:spacing w:line="276" w:lineRule="auto"/>
        <w:jc w:val="both"/>
        <w:rPr>
          <w:lang w:val="en-ID"/>
        </w:rPr>
      </w:pPr>
      <w:r w:rsidRPr="00CB49D5">
        <w:rPr>
          <w:lang w:val="en-ID"/>
        </w:rPr>
        <w:t>Institutional factors, including university policies, curriculum design, and campus sustainability initiatives, also influence students’ attitudes. Integrating climate change topics across disciplines, providing experiential learning opportunities, and demonstrating institutional commitment to sustainability can strengthen students’ sense of efficacy and responsibility. Conversely, a lack of visible institutional action may undermine students’ motivation and reinforce perceptions that individual efforts are insignificant.</w:t>
      </w:r>
    </w:p>
    <w:p w14:paraId="4C9029DF" w14:textId="77777777" w:rsidR="00CB49D5" w:rsidRDefault="00CB49D5" w:rsidP="00CB49D5">
      <w:pPr>
        <w:spacing w:line="276" w:lineRule="auto"/>
        <w:jc w:val="both"/>
        <w:rPr>
          <w:lang w:val="en-ID"/>
        </w:rPr>
      </w:pPr>
    </w:p>
    <w:p w14:paraId="442E1E24" w14:textId="51A31CF6" w:rsidR="00CB49D5" w:rsidRDefault="00CB49D5" w:rsidP="00CB49D5">
      <w:pPr>
        <w:spacing w:line="276" w:lineRule="auto"/>
        <w:jc w:val="both"/>
        <w:rPr>
          <w:lang w:val="en-ID"/>
        </w:rPr>
      </w:pPr>
      <w:r w:rsidRPr="00CB49D5">
        <w:rPr>
          <w:lang w:val="en-ID"/>
        </w:rPr>
        <w:lastRenderedPageBreak/>
        <w:t xml:space="preserve">Although research on students’ attitudes toward climate change has expanded significantly, several gaps remain. First, many studies focus on single dimensions of attitude, such as knowledge or concern, without examining the interaction between cognitive, affective, and </w:t>
      </w:r>
      <w:proofErr w:type="spellStart"/>
      <w:r w:rsidRPr="00CB49D5">
        <w:rPr>
          <w:lang w:val="en-ID"/>
        </w:rPr>
        <w:t>behavioral</w:t>
      </w:r>
      <w:proofErr w:type="spellEnd"/>
      <w:r w:rsidRPr="00CB49D5">
        <w:rPr>
          <w:lang w:val="en-ID"/>
        </w:rPr>
        <w:t xml:space="preserve"> components. Second, much of the existing literature is concentrated in developed countries, with limited empirical evidence from developing nations, where climate vulnerability and socio-economic conditions differ substantially. Third, few studies explore how cultural values and local contexts shape students’ interpretations of climate change and their perceived roles in addressing it.</w:t>
      </w:r>
    </w:p>
    <w:p w14:paraId="799AF81C" w14:textId="77777777" w:rsidR="00CB49D5" w:rsidRPr="00CB49D5" w:rsidRDefault="00CB49D5" w:rsidP="00CB49D5">
      <w:pPr>
        <w:spacing w:line="276" w:lineRule="auto"/>
        <w:jc w:val="both"/>
        <w:rPr>
          <w:lang w:val="en-ID"/>
        </w:rPr>
      </w:pPr>
    </w:p>
    <w:p w14:paraId="38472F42" w14:textId="77777777" w:rsidR="00CB49D5" w:rsidRPr="00CB49D5" w:rsidRDefault="00CB49D5" w:rsidP="00CB49D5">
      <w:pPr>
        <w:spacing w:line="276" w:lineRule="auto"/>
        <w:jc w:val="both"/>
        <w:rPr>
          <w:lang w:val="en-ID"/>
        </w:rPr>
      </w:pPr>
      <w:r w:rsidRPr="00CB49D5">
        <w:rPr>
          <w:lang w:val="en-ID"/>
        </w:rPr>
        <w:t>Addressing these gaps requires context-specific, multidimensional research that captures the complexity of students’ attitudes toward climate change. Such research can provide valuable insights into how educational institutions and policymakers can more effectively engage students as active participants in climate solutions.</w:t>
      </w:r>
    </w:p>
    <w:p w14:paraId="11117863" w14:textId="77777777" w:rsidR="00CB49D5" w:rsidRDefault="00CB49D5" w:rsidP="00CB49D5">
      <w:pPr>
        <w:spacing w:line="276" w:lineRule="auto"/>
        <w:jc w:val="both"/>
        <w:rPr>
          <w:lang w:val="en-ID"/>
        </w:rPr>
      </w:pPr>
    </w:p>
    <w:p w14:paraId="192482CB" w14:textId="5D6B07B9" w:rsidR="004D561B" w:rsidRDefault="00CB49D5" w:rsidP="00CB49D5">
      <w:pPr>
        <w:spacing w:line="276" w:lineRule="auto"/>
        <w:jc w:val="both"/>
        <w:rPr>
          <w:lang w:val="en-ID"/>
        </w:rPr>
      </w:pPr>
      <w:r>
        <w:rPr>
          <w:lang w:val="en-ID"/>
        </w:rPr>
        <w:t>E</w:t>
      </w:r>
      <w:r w:rsidRPr="00CB49D5">
        <w:rPr>
          <w:lang w:val="en-ID"/>
        </w:rPr>
        <w:t xml:space="preserve">xisting literature highlights the importance of students’ attitudes toward climate change as a determinant of future climate action. Attitudes are shaped by knowledge, emotions, </w:t>
      </w:r>
      <w:proofErr w:type="spellStart"/>
      <w:r w:rsidRPr="00CB49D5">
        <w:rPr>
          <w:lang w:val="en-ID"/>
        </w:rPr>
        <w:t>behavioral</w:t>
      </w:r>
      <w:proofErr w:type="spellEnd"/>
      <w:r w:rsidRPr="00CB49D5">
        <w:rPr>
          <w:lang w:val="en-ID"/>
        </w:rPr>
        <w:t xml:space="preserve"> intentions, and social and institutional contexts, yet these components do not always align consistently. While students often demonstrate relatively high levels of awareness and concern, translating these attitudes into sustained pro-environmental behavior remains a challenge. A comprehensive analysis of students’ attitudes toward climate change is therefore essential to deepen understanding and inform more effective educational and policy interventions.</w:t>
      </w:r>
      <w:r w:rsidR="004D561B">
        <w:rPr>
          <w:lang w:val="en-ID"/>
        </w:rPr>
        <w:t xml:space="preserve"> </w:t>
      </w:r>
      <w:r w:rsidR="004D561B">
        <w:t xml:space="preserve">Therefore, this study employs a quantitative descriptive approach and is guided by the following research questions, </w:t>
      </w:r>
      <w:r w:rsidR="004D561B" w:rsidRPr="004D561B">
        <w:rPr>
          <w:b/>
          <w:bCs/>
        </w:rPr>
        <w:t>w</w:t>
      </w:r>
      <w:r w:rsidR="004D561B" w:rsidRPr="004D561B">
        <w:rPr>
          <w:rStyle w:val="Strong"/>
          <w:b w:val="0"/>
          <w:bCs w:val="0"/>
        </w:rPr>
        <w:t>hat is the level of students’ attitudes toward climate change?</w:t>
      </w:r>
      <w:r w:rsidR="004D561B" w:rsidRPr="004D561B">
        <w:rPr>
          <w:b/>
          <w:bCs/>
        </w:rPr>
        <w:br/>
      </w:r>
    </w:p>
    <w:p w14:paraId="3CE1D1E8" w14:textId="3E3E7CE2" w:rsidR="004D561B" w:rsidRDefault="004D561B" w:rsidP="00CB49D5">
      <w:pPr>
        <w:spacing w:line="276" w:lineRule="auto"/>
        <w:jc w:val="both"/>
        <w:rPr>
          <w:lang w:val="en-ID"/>
        </w:rPr>
      </w:pPr>
    </w:p>
    <w:p w14:paraId="7E49CE81" w14:textId="6B5C9D7E" w:rsidR="004D561B" w:rsidRPr="00CB49D5" w:rsidRDefault="004D561B" w:rsidP="00CB49D5">
      <w:pPr>
        <w:spacing w:line="276" w:lineRule="auto"/>
        <w:jc w:val="both"/>
        <w:rPr>
          <w:b/>
          <w:bCs/>
          <w:i/>
          <w:iCs/>
          <w:lang w:val="en-ID"/>
        </w:rPr>
      </w:pPr>
      <w:r w:rsidRPr="001D7C61">
        <w:rPr>
          <w:b/>
          <w:bCs/>
          <w:i/>
          <w:iCs/>
          <w:lang w:val="en-ID"/>
        </w:rPr>
        <w:t xml:space="preserve">Methodology </w:t>
      </w:r>
    </w:p>
    <w:p w14:paraId="3F6538AC" w14:textId="45A496D4" w:rsidR="00B75C60" w:rsidRDefault="00B75C60" w:rsidP="00A63CDA">
      <w:pPr>
        <w:spacing w:line="276" w:lineRule="auto"/>
        <w:jc w:val="both"/>
      </w:pPr>
    </w:p>
    <w:p w14:paraId="5538E094" w14:textId="77777777" w:rsidR="000278CE" w:rsidRDefault="001D7C61" w:rsidP="000278CE">
      <w:pPr>
        <w:jc w:val="both"/>
      </w:pPr>
      <w:r>
        <w:t xml:space="preserve">This study employs a quantitative descriptive research design. The objective of the study is to describe the level of students’ attitudes toward climate change based on Likert-scale responses. The population of this study consists of university students. The sample was obtained using convenience sampling, involving 75 students who were willing to participate in the survey during the data collection period. </w:t>
      </w:r>
    </w:p>
    <w:p w14:paraId="32510713" w14:textId="77777777" w:rsidR="000278CE" w:rsidRDefault="000278CE" w:rsidP="000278CE">
      <w:pPr>
        <w:jc w:val="both"/>
      </w:pPr>
    </w:p>
    <w:p w14:paraId="357B4779" w14:textId="020C70D3" w:rsidR="001D7C61" w:rsidRDefault="001D7C61" w:rsidP="000278CE">
      <w:pPr>
        <w:jc w:val="both"/>
      </w:pPr>
      <w:r>
        <w:t xml:space="preserve">Data were collected using a structured questionnaire designed to measure students’ attitudes toward climate change. The instrument consisted of 12 attitude statements reflecting key aspects of climate change attitudes, including: concern about climate change and extreme weather, awareness of the seriousness and negative impacts of climate change, interest in learning about climate change, discomfort when climate change issues are ignored, perceptions of human causes of climate change, views on environmental priorities, perceived importance of carbon reduction, and perceived roles of universities and individual responsibility. </w:t>
      </w:r>
    </w:p>
    <w:p w14:paraId="5571B543" w14:textId="77777777" w:rsidR="001D7C61" w:rsidRDefault="001D7C61" w:rsidP="000278CE">
      <w:pPr>
        <w:jc w:val="both"/>
      </w:pPr>
    </w:p>
    <w:p w14:paraId="4FC7F992" w14:textId="77777777" w:rsidR="000278CE" w:rsidRDefault="001D7C61" w:rsidP="000278CE">
      <w:pPr>
        <w:jc w:val="both"/>
      </w:pPr>
      <w:r>
        <w:t xml:space="preserve">All items were measured using a five-point Likert scale, where higher scores indicate more positive and stronger attitudes toward climate change. The questionnaire was distributed online to university students. Participation was voluntary, and respondents were informed that their answers would be used solely for research purposes. Anonymity and confidentiality of responses were ensured throughout the data collection process. </w:t>
      </w:r>
    </w:p>
    <w:p w14:paraId="2CDAD56E" w14:textId="77777777" w:rsidR="000278CE" w:rsidRDefault="000278CE" w:rsidP="000278CE">
      <w:pPr>
        <w:jc w:val="both"/>
      </w:pPr>
    </w:p>
    <w:p w14:paraId="0643B00C" w14:textId="45BE33ED" w:rsidR="001D7C61" w:rsidRDefault="001D7C61" w:rsidP="000278CE">
      <w:pPr>
        <w:jc w:val="both"/>
      </w:pPr>
      <w:r>
        <w:lastRenderedPageBreak/>
        <w:t>Data analysis was conducted using descriptive statistical analysis and focused on measuring mean scores, median scores, standard deviations and percentage distributions. Each statement was analyzed individually to capture variations in students’ attitudes across different aspects of climate change. The overall level of students’ attitudes was interpreted based on the mean Likert scores, where higher mean values indicate stronger agreement or concern.</w:t>
      </w:r>
    </w:p>
    <w:p w14:paraId="563B2159" w14:textId="77777777" w:rsidR="001D7C61" w:rsidRPr="006424CF" w:rsidRDefault="001D7C61" w:rsidP="000278CE">
      <w:pPr>
        <w:spacing w:line="276" w:lineRule="auto"/>
        <w:jc w:val="both"/>
      </w:pPr>
    </w:p>
    <w:p w14:paraId="29F78E32" w14:textId="77777777" w:rsidR="00A63CDA" w:rsidRPr="006424CF" w:rsidRDefault="00A63CDA" w:rsidP="009C0687">
      <w:pPr>
        <w:spacing w:line="276" w:lineRule="auto"/>
        <w:jc w:val="both"/>
      </w:pPr>
    </w:p>
    <w:p w14:paraId="462514CC" w14:textId="4281BB0B" w:rsidR="009C0687" w:rsidRPr="006424CF" w:rsidRDefault="009C0687" w:rsidP="009C0687">
      <w:pPr>
        <w:spacing w:line="276" w:lineRule="auto"/>
        <w:jc w:val="both"/>
        <w:rPr>
          <w:b/>
          <w:bCs/>
          <w:i/>
          <w:iCs/>
        </w:rPr>
      </w:pPr>
      <w:r w:rsidRPr="006424CF">
        <w:rPr>
          <w:b/>
          <w:bCs/>
          <w:i/>
          <w:iCs/>
        </w:rPr>
        <w:t>Findings</w:t>
      </w:r>
    </w:p>
    <w:p w14:paraId="6BA738A0" w14:textId="77777777" w:rsidR="008A5DA6" w:rsidRPr="006424CF" w:rsidRDefault="008A5DA6" w:rsidP="009C0687">
      <w:pPr>
        <w:spacing w:line="276" w:lineRule="auto"/>
        <w:jc w:val="both"/>
        <w:rPr>
          <w:b/>
          <w:bCs/>
          <w:i/>
          <w:iCs/>
        </w:rPr>
      </w:pPr>
    </w:p>
    <w:p w14:paraId="5F8C5C6D" w14:textId="25B98909" w:rsidR="003E15D1" w:rsidRDefault="003E15D1" w:rsidP="003E15D1">
      <w:pPr>
        <w:spacing w:line="276" w:lineRule="auto"/>
        <w:jc w:val="both"/>
        <w:rPr>
          <w:lang w:val="en-ID"/>
        </w:rPr>
      </w:pPr>
      <w:r w:rsidRPr="003E15D1">
        <w:rPr>
          <w:lang w:val="en-ID"/>
        </w:rPr>
        <w:t>This section presents the descriptive results of students’ attitudes toward climate change based on Likert-scale responses. The analysis uses mean scores, median values, standard deviations, and percentage distributions to describe the overall pattern of students’ attitudes. Higher mean scores indicate stronger agreement or concern.</w:t>
      </w:r>
    </w:p>
    <w:p w14:paraId="59CAD80A" w14:textId="77777777" w:rsidR="003E15D1" w:rsidRPr="003E15D1" w:rsidRDefault="003E15D1" w:rsidP="003E15D1">
      <w:pPr>
        <w:spacing w:line="276" w:lineRule="auto"/>
        <w:jc w:val="both"/>
        <w:rPr>
          <w:lang w:val="en-ID"/>
        </w:rPr>
      </w:pPr>
    </w:p>
    <w:p w14:paraId="26C2BDD5" w14:textId="55CED332" w:rsidR="003E15D1" w:rsidRDefault="003E15D1" w:rsidP="003E15D1">
      <w:pPr>
        <w:spacing w:line="276" w:lineRule="auto"/>
        <w:jc w:val="both"/>
        <w:rPr>
          <w:lang w:val="en-ID"/>
        </w:rPr>
      </w:pPr>
      <w:r w:rsidRPr="003E15D1">
        <w:rPr>
          <w:lang w:val="en-ID"/>
        </w:rPr>
        <w:t xml:space="preserve">Overall, the findings show that students demonstrate a high level of concern and positive attitudes toward climate change. Most items have mean scores above 4.00, indicating general agreement across cognitive, affective, and </w:t>
      </w:r>
      <w:proofErr w:type="spellStart"/>
      <w:r w:rsidRPr="003E15D1">
        <w:rPr>
          <w:lang w:val="en-ID"/>
        </w:rPr>
        <w:t>behavioral</w:t>
      </w:r>
      <w:proofErr w:type="spellEnd"/>
      <w:r w:rsidRPr="003E15D1">
        <w:rPr>
          <w:lang w:val="en-ID"/>
        </w:rPr>
        <w:t xml:space="preserve"> aspects. Median values are predominantly 4 or 5, suggesting that responses are concentrated in the “Agree” and “Strongly Agree” categories.</w:t>
      </w:r>
    </w:p>
    <w:p w14:paraId="7A88FDA7" w14:textId="77777777" w:rsidR="003E15D1" w:rsidRPr="003E15D1" w:rsidRDefault="003E15D1" w:rsidP="003E15D1">
      <w:pPr>
        <w:spacing w:line="276" w:lineRule="auto"/>
        <w:jc w:val="both"/>
        <w:rPr>
          <w:lang w:val="en-ID"/>
        </w:rPr>
      </w:pPr>
    </w:p>
    <w:p w14:paraId="523223A0" w14:textId="58091C95" w:rsidR="003E15D1" w:rsidRDefault="003E15D1" w:rsidP="003E15D1">
      <w:pPr>
        <w:spacing w:line="276" w:lineRule="auto"/>
        <w:jc w:val="both"/>
        <w:rPr>
          <w:lang w:val="en-ID"/>
        </w:rPr>
      </w:pPr>
      <w:r w:rsidRPr="003E15D1">
        <w:rPr>
          <w:lang w:val="en-ID"/>
        </w:rPr>
        <w:t xml:space="preserve">The strongest consensus appears in items related to the seriousness of climate change and concern about extreme weather. Both </w:t>
      </w:r>
      <w:r w:rsidRPr="003E15D1">
        <w:rPr>
          <w:i/>
          <w:iCs/>
          <w:lang w:val="en-ID"/>
        </w:rPr>
        <w:t>Concern about Extreme Weather</w:t>
      </w:r>
      <w:r w:rsidRPr="003E15D1">
        <w:rPr>
          <w:lang w:val="en-ID"/>
        </w:rPr>
        <w:t xml:space="preserve"> and </w:t>
      </w:r>
      <w:r w:rsidRPr="003E15D1">
        <w:rPr>
          <w:i/>
          <w:iCs/>
          <w:lang w:val="en-ID"/>
        </w:rPr>
        <w:t>Awareness of Climate Change Seriousness</w:t>
      </w:r>
      <w:r w:rsidRPr="003E15D1">
        <w:rPr>
          <w:lang w:val="en-ID"/>
        </w:rPr>
        <w:t xml:space="preserve"> record the highest mean scores (M = 4.67), with a median of 5 and very low standard deviations (SD = 0.50). In both items, 68% of respondents selected “Strongly Agree,” indicating a very high and consistent level of concern</w:t>
      </w:r>
      <w:r>
        <w:rPr>
          <w:lang w:val="en-ID"/>
        </w:rPr>
        <w:t xml:space="preserve">. </w:t>
      </w:r>
      <w:r w:rsidRPr="003E15D1">
        <w:rPr>
          <w:lang w:val="en-ID"/>
        </w:rPr>
        <w:t xml:space="preserve">Similarly, the item on </w:t>
      </w:r>
      <w:r w:rsidRPr="003E15D1">
        <w:rPr>
          <w:i/>
          <w:iCs/>
          <w:lang w:val="en-ID"/>
        </w:rPr>
        <w:t>Negative Impacts of Climate Change</w:t>
      </w:r>
      <w:r w:rsidRPr="003E15D1">
        <w:rPr>
          <w:lang w:val="en-ID"/>
        </w:rPr>
        <w:t xml:space="preserve"> shows a high mean score (M = 4.64) and low variability, reinforcing that students clearly recognize the harmful consequences of climate change.</w:t>
      </w:r>
    </w:p>
    <w:p w14:paraId="709A58FE" w14:textId="77777777" w:rsidR="003E15D1" w:rsidRPr="003E15D1" w:rsidRDefault="003E15D1" w:rsidP="003E15D1">
      <w:pPr>
        <w:spacing w:line="276" w:lineRule="auto"/>
        <w:jc w:val="both"/>
        <w:rPr>
          <w:lang w:val="en-ID"/>
        </w:rPr>
      </w:pPr>
    </w:p>
    <w:p w14:paraId="1A216B82" w14:textId="3C058AC1" w:rsidR="003E15D1" w:rsidRDefault="003E15D1" w:rsidP="003E15D1">
      <w:pPr>
        <w:spacing w:line="276" w:lineRule="auto"/>
        <w:jc w:val="both"/>
        <w:rPr>
          <w:lang w:val="en-ID"/>
        </w:rPr>
      </w:pPr>
      <w:r w:rsidRPr="003E15D1">
        <w:rPr>
          <w:lang w:val="en-ID"/>
        </w:rPr>
        <w:t xml:space="preserve">Students also show strong engagement with climate issues. High mean scores are found for </w:t>
      </w:r>
      <w:r w:rsidRPr="003E15D1">
        <w:rPr>
          <w:i/>
          <w:iCs/>
          <w:lang w:val="en-ID"/>
        </w:rPr>
        <w:t>Interest in Learning about Climate Change</w:t>
      </w:r>
      <w:r w:rsidRPr="003E15D1">
        <w:rPr>
          <w:lang w:val="en-ID"/>
        </w:rPr>
        <w:t xml:space="preserve"> (M = 4.63) and </w:t>
      </w:r>
      <w:r w:rsidRPr="003E15D1">
        <w:rPr>
          <w:i/>
          <w:iCs/>
          <w:lang w:val="en-ID"/>
        </w:rPr>
        <w:t>Discomfort When Climate Issues Are Ignored</w:t>
      </w:r>
      <w:r w:rsidRPr="003E15D1">
        <w:rPr>
          <w:lang w:val="en-ID"/>
        </w:rPr>
        <w:t xml:space="preserve"> (M = 4.63). These results suggest that students are not only aware of climate change but are also emotionally engaged and motivated to pay attention to the issue.</w:t>
      </w:r>
      <w:r>
        <w:rPr>
          <w:lang w:val="en-ID"/>
        </w:rPr>
        <w:t xml:space="preserve"> </w:t>
      </w:r>
      <w:r w:rsidRPr="003E15D1">
        <w:rPr>
          <w:lang w:val="en-ID"/>
        </w:rPr>
        <w:t xml:space="preserve">Support for mitigation efforts is reflected in the item </w:t>
      </w:r>
      <w:r w:rsidRPr="003E15D1">
        <w:rPr>
          <w:i/>
          <w:iCs/>
          <w:lang w:val="en-ID"/>
        </w:rPr>
        <w:t>Importance of Carbon Reduction</w:t>
      </w:r>
      <w:r w:rsidRPr="003E15D1">
        <w:rPr>
          <w:lang w:val="en-ID"/>
        </w:rPr>
        <w:t xml:space="preserve"> (M = 4.59), indicating strong approval of actions aimed at reducing emissions. Concern for </w:t>
      </w:r>
      <w:r w:rsidRPr="003E15D1">
        <w:rPr>
          <w:i/>
          <w:iCs/>
          <w:lang w:val="en-ID"/>
        </w:rPr>
        <w:t>Future Generations</w:t>
      </w:r>
      <w:r w:rsidRPr="003E15D1">
        <w:rPr>
          <w:lang w:val="en-ID"/>
        </w:rPr>
        <w:t xml:space="preserve"> also scores highly (M = 4.43), although with slightly greater variation, suggesting that while most students are concerned, the intensity of concern differs among individuals.</w:t>
      </w:r>
    </w:p>
    <w:p w14:paraId="3BA8E422" w14:textId="77777777" w:rsidR="003E15D1" w:rsidRPr="003E15D1" w:rsidRDefault="003E15D1" w:rsidP="003E15D1">
      <w:pPr>
        <w:spacing w:line="276" w:lineRule="auto"/>
        <w:jc w:val="both"/>
        <w:rPr>
          <w:lang w:val="en-ID"/>
        </w:rPr>
      </w:pPr>
    </w:p>
    <w:p w14:paraId="4283BD14" w14:textId="6B986906" w:rsidR="003E15D1" w:rsidRDefault="003E15D1" w:rsidP="003E15D1">
      <w:pPr>
        <w:spacing w:line="276" w:lineRule="auto"/>
        <w:jc w:val="both"/>
        <w:rPr>
          <w:lang w:val="en-ID"/>
        </w:rPr>
      </w:pPr>
      <w:r w:rsidRPr="003E15D1">
        <w:rPr>
          <w:lang w:val="en-ID"/>
        </w:rPr>
        <w:t xml:space="preserve">The perceived </w:t>
      </w:r>
      <w:r w:rsidRPr="003E15D1">
        <w:rPr>
          <w:i/>
          <w:iCs/>
          <w:lang w:val="en-ID"/>
        </w:rPr>
        <w:t>Role of Universities</w:t>
      </w:r>
      <w:r w:rsidRPr="003E15D1">
        <w:rPr>
          <w:lang w:val="en-ID"/>
        </w:rPr>
        <w:t xml:space="preserve"> in addressing climate change records a high mean score (M = 4.37), indicating that students expect higher education institutions to play an active role in climate action. However, responses show slightly more variation compared to items on concern and awareness.</w:t>
      </w:r>
      <w:r>
        <w:rPr>
          <w:lang w:val="en-ID"/>
        </w:rPr>
        <w:t xml:space="preserve"> </w:t>
      </w:r>
      <w:r w:rsidRPr="003E15D1">
        <w:rPr>
          <w:lang w:val="en-ID"/>
        </w:rPr>
        <w:t xml:space="preserve">Items related to </w:t>
      </w:r>
      <w:r w:rsidRPr="003E15D1">
        <w:rPr>
          <w:i/>
          <w:iCs/>
          <w:lang w:val="en-ID"/>
        </w:rPr>
        <w:t>Personal Responsibility</w:t>
      </w:r>
      <w:r w:rsidRPr="003E15D1">
        <w:rPr>
          <w:lang w:val="en-ID"/>
        </w:rPr>
        <w:t xml:space="preserve"> (M = 4.28) and </w:t>
      </w:r>
      <w:r w:rsidRPr="003E15D1">
        <w:rPr>
          <w:i/>
          <w:iCs/>
          <w:lang w:val="en-ID"/>
        </w:rPr>
        <w:t>Effectiveness of Individual Actions</w:t>
      </w:r>
      <w:r w:rsidRPr="003E15D1">
        <w:rPr>
          <w:lang w:val="en-ID"/>
        </w:rPr>
        <w:t xml:space="preserve"> (M = 4.17) indicate general agreement, but with lower proportions of “Strongly Agree” responses. This suggests that while students accept individual responsibility, their confidence in the impact of personal actions is weaker than their overall concern about climate change.</w:t>
      </w:r>
    </w:p>
    <w:p w14:paraId="5101F115" w14:textId="77777777" w:rsidR="003E15D1" w:rsidRPr="003E15D1" w:rsidRDefault="003E15D1" w:rsidP="003E15D1">
      <w:pPr>
        <w:spacing w:line="276" w:lineRule="auto"/>
        <w:jc w:val="both"/>
        <w:rPr>
          <w:lang w:val="en-ID"/>
        </w:rPr>
      </w:pPr>
    </w:p>
    <w:p w14:paraId="4A150B11" w14:textId="78400D57" w:rsidR="003E15D1" w:rsidRDefault="003E15D1" w:rsidP="003E15D1">
      <w:pPr>
        <w:spacing w:line="276" w:lineRule="auto"/>
        <w:jc w:val="both"/>
        <w:rPr>
          <w:lang w:val="en-ID"/>
        </w:rPr>
      </w:pPr>
      <w:r w:rsidRPr="003E15D1">
        <w:rPr>
          <w:lang w:val="en-ID"/>
        </w:rPr>
        <w:lastRenderedPageBreak/>
        <w:t xml:space="preserve">The lowest mean score is found for </w:t>
      </w:r>
      <w:r w:rsidRPr="003E15D1">
        <w:rPr>
          <w:i/>
          <w:iCs/>
          <w:lang w:val="en-ID"/>
        </w:rPr>
        <w:t>Human Causes of Climate Change</w:t>
      </w:r>
      <w:r w:rsidRPr="003E15D1">
        <w:rPr>
          <w:lang w:val="en-ID"/>
        </w:rPr>
        <w:t xml:space="preserve"> (M = 3.88), accompanied by the highest standard deviation (SD = 1.04). This indicates the greatest diversity of responses, with a notable proportion of students expressing neutrality or disagreement. This result suggests that understanding or acceptance of human activity as the primary cause of climate change is less consistent among students.</w:t>
      </w:r>
      <w:r>
        <w:rPr>
          <w:lang w:val="en-ID"/>
        </w:rPr>
        <w:t xml:space="preserve"> </w:t>
      </w:r>
      <w:r w:rsidRPr="003E15D1">
        <w:rPr>
          <w:lang w:val="en-ID"/>
        </w:rPr>
        <w:t xml:space="preserve">The item </w:t>
      </w:r>
      <w:r w:rsidRPr="003E15D1">
        <w:rPr>
          <w:i/>
          <w:iCs/>
          <w:lang w:val="en-ID"/>
        </w:rPr>
        <w:t>Environmental Priority</w:t>
      </w:r>
      <w:r w:rsidRPr="003E15D1">
        <w:rPr>
          <w:lang w:val="en-ID"/>
        </w:rPr>
        <w:t xml:space="preserve"> (M = 4.03) also shows relatively high variability, indicating that some students may perceive a need to balance environmental protection with economic or other considerations.</w:t>
      </w:r>
    </w:p>
    <w:p w14:paraId="4C4CBD30" w14:textId="77777777" w:rsidR="003E15D1" w:rsidRPr="003E15D1" w:rsidRDefault="003E15D1" w:rsidP="003E15D1">
      <w:pPr>
        <w:spacing w:line="276" w:lineRule="auto"/>
        <w:jc w:val="both"/>
        <w:rPr>
          <w:lang w:val="en-ID"/>
        </w:rPr>
      </w:pPr>
    </w:p>
    <w:p w14:paraId="24565894" w14:textId="77777777" w:rsidR="003E15D1" w:rsidRPr="003E15D1" w:rsidRDefault="003E15D1" w:rsidP="003E15D1">
      <w:pPr>
        <w:spacing w:line="276" w:lineRule="auto"/>
        <w:jc w:val="both"/>
        <w:rPr>
          <w:lang w:val="en-ID"/>
        </w:rPr>
      </w:pPr>
      <w:r w:rsidRPr="003E15D1">
        <w:rPr>
          <w:lang w:val="en-ID"/>
        </w:rPr>
        <w:t>In summary, the results indicate that students show strong concern and awareness of climate change and its impacts. However, greater variation appears in items related to the causes of climate change, policy priorities, and the perceived effectiveness of individual actions. These findings highlight areas where climate education and communication could be strengthened.</w:t>
      </w:r>
    </w:p>
    <w:p w14:paraId="1F90F198" w14:textId="3702BA92" w:rsidR="003E15D1" w:rsidRDefault="003E15D1" w:rsidP="003E15D1">
      <w:pPr>
        <w:spacing w:line="276" w:lineRule="auto"/>
        <w:jc w:val="both"/>
        <w:rPr>
          <w:lang w:val="en-ID"/>
        </w:rPr>
      </w:pPr>
    </w:p>
    <w:p w14:paraId="7EBC4E99" w14:textId="19204270" w:rsidR="003E15D1" w:rsidRDefault="003E15D1" w:rsidP="003E15D1">
      <w:pPr>
        <w:spacing w:line="276" w:lineRule="auto"/>
        <w:jc w:val="both"/>
        <w:rPr>
          <w:lang w:val="en-ID"/>
        </w:rPr>
      </w:pPr>
    </w:p>
    <w:p w14:paraId="05A18A19" w14:textId="213B9888" w:rsidR="003E15D1" w:rsidRDefault="003E15D1" w:rsidP="003E15D1">
      <w:pPr>
        <w:spacing w:line="276" w:lineRule="auto"/>
        <w:jc w:val="both"/>
        <w:rPr>
          <w:lang w:val="en-ID"/>
        </w:rPr>
      </w:pPr>
    </w:p>
    <w:p w14:paraId="06575CC5" w14:textId="608EB05B" w:rsidR="003E15D1" w:rsidRDefault="003E15D1" w:rsidP="003E15D1">
      <w:pPr>
        <w:spacing w:line="276" w:lineRule="auto"/>
        <w:jc w:val="both"/>
        <w:rPr>
          <w:lang w:val="en-ID"/>
        </w:rPr>
      </w:pPr>
    </w:p>
    <w:p w14:paraId="5D107523" w14:textId="5B6AB700" w:rsidR="003E15D1" w:rsidRDefault="003E15D1" w:rsidP="003E15D1">
      <w:pPr>
        <w:spacing w:line="276" w:lineRule="auto"/>
        <w:jc w:val="both"/>
        <w:rPr>
          <w:lang w:val="en-ID"/>
        </w:rPr>
      </w:pPr>
    </w:p>
    <w:p w14:paraId="27FB5B6F" w14:textId="70EF8265" w:rsidR="003E15D1" w:rsidRDefault="003E15D1" w:rsidP="003E15D1">
      <w:pPr>
        <w:spacing w:line="276" w:lineRule="auto"/>
        <w:jc w:val="both"/>
        <w:rPr>
          <w:lang w:val="en-ID"/>
        </w:rPr>
      </w:pPr>
    </w:p>
    <w:p w14:paraId="2F6A4B10" w14:textId="77777777" w:rsidR="003E15D1" w:rsidRPr="003E15D1" w:rsidRDefault="003E15D1" w:rsidP="003E15D1">
      <w:pPr>
        <w:spacing w:line="276" w:lineRule="auto"/>
        <w:jc w:val="both"/>
        <w:rPr>
          <w:lang w:val="en-ID"/>
        </w:rPr>
      </w:pPr>
    </w:p>
    <w:p w14:paraId="1691272B" w14:textId="54B1204A" w:rsidR="003E15D1" w:rsidRDefault="003E15D1" w:rsidP="003E15D1">
      <w:pPr>
        <w:spacing w:line="276" w:lineRule="auto"/>
        <w:jc w:val="center"/>
        <w:rPr>
          <w:lang w:val="en-ID"/>
        </w:rPr>
      </w:pPr>
      <w:r w:rsidRPr="003E15D1">
        <w:rPr>
          <w:lang w:val="en-ID"/>
        </w:rPr>
        <w:t>Table 1. Descriptive Statistics of Students’ Attitudes toward Climate Change</w:t>
      </w:r>
    </w:p>
    <w:p w14:paraId="2A309B10" w14:textId="77777777" w:rsidR="003E15D1" w:rsidRPr="003E15D1" w:rsidRDefault="003E15D1" w:rsidP="003E15D1">
      <w:pPr>
        <w:spacing w:line="276" w:lineRule="auto"/>
        <w:jc w:val="center"/>
        <w:rPr>
          <w:lang w:val="en-ID"/>
        </w:rPr>
      </w:pP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835"/>
        <w:gridCol w:w="607"/>
        <w:gridCol w:w="794"/>
        <w:gridCol w:w="667"/>
        <w:gridCol w:w="1323"/>
        <w:gridCol w:w="600"/>
        <w:gridCol w:w="600"/>
        <w:gridCol w:w="600"/>
        <w:gridCol w:w="1045"/>
      </w:tblGrid>
      <w:tr w:rsidR="003E15D1" w:rsidRPr="003E15D1" w14:paraId="59F10963" w14:textId="77777777" w:rsidTr="00592AB3">
        <w:trPr>
          <w:tblHeader/>
          <w:tblCellSpacing w:w="15" w:type="dxa"/>
        </w:trPr>
        <w:tc>
          <w:tcPr>
            <w:tcW w:w="0" w:type="auto"/>
            <w:tcBorders>
              <w:top w:val="nil"/>
              <w:bottom w:val="single" w:sz="4" w:space="0" w:color="auto"/>
            </w:tcBorders>
            <w:vAlign w:val="center"/>
            <w:hideMark/>
          </w:tcPr>
          <w:p w14:paraId="59985305" w14:textId="77777777" w:rsidR="003E15D1" w:rsidRPr="003E15D1" w:rsidRDefault="003E15D1" w:rsidP="003E15D1">
            <w:pPr>
              <w:spacing w:line="276" w:lineRule="auto"/>
              <w:rPr>
                <w:lang w:val="en-ID"/>
              </w:rPr>
            </w:pPr>
            <w:r w:rsidRPr="003E15D1">
              <w:rPr>
                <w:lang w:val="en-ID"/>
              </w:rPr>
              <w:t>Item</w:t>
            </w:r>
          </w:p>
        </w:tc>
        <w:tc>
          <w:tcPr>
            <w:tcW w:w="0" w:type="auto"/>
            <w:tcBorders>
              <w:top w:val="nil"/>
              <w:bottom w:val="single" w:sz="4" w:space="0" w:color="auto"/>
            </w:tcBorders>
            <w:vAlign w:val="center"/>
            <w:hideMark/>
          </w:tcPr>
          <w:p w14:paraId="43B5BBB6" w14:textId="77777777" w:rsidR="003E15D1" w:rsidRPr="003E15D1" w:rsidRDefault="003E15D1" w:rsidP="003E15D1">
            <w:pPr>
              <w:spacing w:line="276" w:lineRule="auto"/>
              <w:jc w:val="center"/>
              <w:rPr>
                <w:lang w:val="en-ID"/>
              </w:rPr>
            </w:pPr>
            <w:r w:rsidRPr="003E15D1">
              <w:rPr>
                <w:lang w:val="en-ID"/>
              </w:rPr>
              <w:t>Mean</w:t>
            </w:r>
          </w:p>
        </w:tc>
        <w:tc>
          <w:tcPr>
            <w:tcW w:w="0" w:type="auto"/>
            <w:tcBorders>
              <w:top w:val="nil"/>
              <w:bottom w:val="single" w:sz="4" w:space="0" w:color="auto"/>
            </w:tcBorders>
            <w:vAlign w:val="center"/>
            <w:hideMark/>
          </w:tcPr>
          <w:p w14:paraId="2DEF073D" w14:textId="77777777" w:rsidR="003E15D1" w:rsidRPr="003E15D1" w:rsidRDefault="003E15D1" w:rsidP="003E15D1">
            <w:pPr>
              <w:spacing w:line="276" w:lineRule="auto"/>
              <w:jc w:val="center"/>
              <w:rPr>
                <w:lang w:val="en-ID"/>
              </w:rPr>
            </w:pPr>
            <w:r w:rsidRPr="003E15D1">
              <w:rPr>
                <w:lang w:val="en-ID"/>
              </w:rPr>
              <w:t>Median</w:t>
            </w:r>
          </w:p>
        </w:tc>
        <w:tc>
          <w:tcPr>
            <w:tcW w:w="0" w:type="auto"/>
            <w:tcBorders>
              <w:top w:val="nil"/>
              <w:bottom w:val="single" w:sz="4" w:space="0" w:color="auto"/>
            </w:tcBorders>
            <w:vAlign w:val="center"/>
            <w:hideMark/>
          </w:tcPr>
          <w:p w14:paraId="45F58BFF" w14:textId="77777777" w:rsidR="003E15D1" w:rsidRPr="003E15D1" w:rsidRDefault="003E15D1" w:rsidP="003E15D1">
            <w:pPr>
              <w:spacing w:line="276" w:lineRule="auto"/>
              <w:jc w:val="center"/>
              <w:rPr>
                <w:lang w:val="en-ID"/>
              </w:rPr>
            </w:pPr>
            <w:r w:rsidRPr="003E15D1">
              <w:rPr>
                <w:lang w:val="en-ID"/>
              </w:rPr>
              <w:t>Std. Dev</w:t>
            </w:r>
          </w:p>
        </w:tc>
        <w:tc>
          <w:tcPr>
            <w:tcW w:w="0" w:type="auto"/>
            <w:tcBorders>
              <w:top w:val="nil"/>
              <w:bottom w:val="single" w:sz="4" w:space="0" w:color="auto"/>
            </w:tcBorders>
            <w:vAlign w:val="center"/>
            <w:hideMark/>
          </w:tcPr>
          <w:p w14:paraId="7808917F" w14:textId="77777777" w:rsidR="003E15D1" w:rsidRPr="003E15D1" w:rsidRDefault="003E15D1" w:rsidP="003E15D1">
            <w:pPr>
              <w:spacing w:line="276" w:lineRule="auto"/>
              <w:jc w:val="center"/>
              <w:rPr>
                <w:lang w:val="en-ID"/>
              </w:rPr>
            </w:pPr>
            <w:r w:rsidRPr="003E15D1">
              <w:rPr>
                <w:lang w:val="en-ID"/>
              </w:rPr>
              <w:t>1% (STS/STK)</w:t>
            </w:r>
          </w:p>
        </w:tc>
        <w:tc>
          <w:tcPr>
            <w:tcW w:w="0" w:type="auto"/>
            <w:tcBorders>
              <w:top w:val="nil"/>
              <w:bottom w:val="single" w:sz="4" w:space="0" w:color="auto"/>
            </w:tcBorders>
            <w:vAlign w:val="center"/>
            <w:hideMark/>
          </w:tcPr>
          <w:p w14:paraId="7BC2A97F" w14:textId="77777777" w:rsidR="003E15D1" w:rsidRPr="003E15D1" w:rsidRDefault="003E15D1" w:rsidP="003E15D1">
            <w:pPr>
              <w:spacing w:line="276" w:lineRule="auto"/>
              <w:jc w:val="center"/>
              <w:rPr>
                <w:lang w:val="en-ID"/>
              </w:rPr>
            </w:pPr>
            <w:r w:rsidRPr="003E15D1">
              <w:rPr>
                <w:lang w:val="en-ID"/>
              </w:rPr>
              <w:t>2%</w:t>
            </w:r>
          </w:p>
        </w:tc>
        <w:tc>
          <w:tcPr>
            <w:tcW w:w="0" w:type="auto"/>
            <w:tcBorders>
              <w:top w:val="nil"/>
              <w:bottom w:val="single" w:sz="4" w:space="0" w:color="auto"/>
            </w:tcBorders>
            <w:vAlign w:val="center"/>
            <w:hideMark/>
          </w:tcPr>
          <w:p w14:paraId="75ED70C8" w14:textId="77777777" w:rsidR="003E15D1" w:rsidRPr="003E15D1" w:rsidRDefault="003E15D1" w:rsidP="003E15D1">
            <w:pPr>
              <w:spacing w:line="276" w:lineRule="auto"/>
              <w:jc w:val="center"/>
              <w:rPr>
                <w:lang w:val="en-ID"/>
              </w:rPr>
            </w:pPr>
            <w:r w:rsidRPr="003E15D1">
              <w:rPr>
                <w:lang w:val="en-ID"/>
              </w:rPr>
              <w:t>3%</w:t>
            </w:r>
          </w:p>
        </w:tc>
        <w:tc>
          <w:tcPr>
            <w:tcW w:w="0" w:type="auto"/>
            <w:tcBorders>
              <w:top w:val="nil"/>
              <w:bottom w:val="single" w:sz="4" w:space="0" w:color="auto"/>
            </w:tcBorders>
            <w:vAlign w:val="center"/>
            <w:hideMark/>
          </w:tcPr>
          <w:p w14:paraId="310CAE68" w14:textId="77777777" w:rsidR="003E15D1" w:rsidRPr="003E15D1" w:rsidRDefault="003E15D1" w:rsidP="003E15D1">
            <w:pPr>
              <w:spacing w:line="276" w:lineRule="auto"/>
              <w:jc w:val="center"/>
              <w:rPr>
                <w:lang w:val="en-ID"/>
              </w:rPr>
            </w:pPr>
            <w:r w:rsidRPr="003E15D1">
              <w:rPr>
                <w:lang w:val="en-ID"/>
              </w:rPr>
              <w:t>4%</w:t>
            </w:r>
          </w:p>
        </w:tc>
        <w:tc>
          <w:tcPr>
            <w:tcW w:w="0" w:type="auto"/>
            <w:tcBorders>
              <w:top w:val="nil"/>
              <w:bottom w:val="single" w:sz="4" w:space="0" w:color="auto"/>
            </w:tcBorders>
            <w:vAlign w:val="center"/>
            <w:hideMark/>
          </w:tcPr>
          <w:p w14:paraId="4E8B8819" w14:textId="77777777" w:rsidR="003E15D1" w:rsidRPr="003E15D1" w:rsidRDefault="003E15D1" w:rsidP="003E15D1">
            <w:pPr>
              <w:spacing w:line="276" w:lineRule="auto"/>
              <w:jc w:val="center"/>
              <w:rPr>
                <w:lang w:val="en-ID"/>
              </w:rPr>
            </w:pPr>
            <w:r w:rsidRPr="003E15D1">
              <w:rPr>
                <w:lang w:val="en-ID"/>
              </w:rPr>
              <w:t>5% (SS/SK)</w:t>
            </w:r>
          </w:p>
        </w:tc>
      </w:tr>
      <w:tr w:rsidR="003E15D1" w:rsidRPr="003E15D1" w14:paraId="1226F968" w14:textId="77777777" w:rsidTr="00592AB3">
        <w:trPr>
          <w:tblCellSpacing w:w="15" w:type="dxa"/>
        </w:trPr>
        <w:tc>
          <w:tcPr>
            <w:tcW w:w="0" w:type="auto"/>
            <w:vAlign w:val="center"/>
            <w:hideMark/>
          </w:tcPr>
          <w:p w14:paraId="0F0200CC" w14:textId="77777777" w:rsidR="003E15D1" w:rsidRPr="003E15D1" w:rsidRDefault="003E15D1" w:rsidP="003E15D1">
            <w:pPr>
              <w:spacing w:line="276" w:lineRule="auto"/>
              <w:rPr>
                <w:lang w:val="en-ID"/>
              </w:rPr>
            </w:pPr>
            <w:r w:rsidRPr="003E15D1">
              <w:rPr>
                <w:lang w:val="en-ID"/>
              </w:rPr>
              <w:t>Concern about Extreme Weather</w:t>
            </w:r>
          </w:p>
        </w:tc>
        <w:tc>
          <w:tcPr>
            <w:tcW w:w="0" w:type="auto"/>
            <w:vAlign w:val="center"/>
            <w:hideMark/>
          </w:tcPr>
          <w:p w14:paraId="5AE53FD0" w14:textId="77777777" w:rsidR="003E15D1" w:rsidRPr="003E15D1" w:rsidRDefault="003E15D1" w:rsidP="003E15D1">
            <w:pPr>
              <w:spacing w:line="276" w:lineRule="auto"/>
              <w:jc w:val="center"/>
              <w:rPr>
                <w:lang w:val="en-ID"/>
              </w:rPr>
            </w:pPr>
            <w:r w:rsidRPr="003E15D1">
              <w:rPr>
                <w:lang w:val="en-ID"/>
              </w:rPr>
              <w:t>4.67</w:t>
            </w:r>
          </w:p>
        </w:tc>
        <w:tc>
          <w:tcPr>
            <w:tcW w:w="0" w:type="auto"/>
            <w:vAlign w:val="center"/>
            <w:hideMark/>
          </w:tcPr>
          <w:p w14:paraId="27CE0720" w14:textId="77777777" w:rsidR="003E15D1" w:rsidRPr="003E15D1" w:rsidRDefault="003E15D1" w:rsidP="003E15D1">
            <w:pPr>
              <w:spacing w:line="276" w:lineRule="auto"/>
              <w:jc w:val="center"/>
              <w:rPr>
                <w:lang w:val="en-ID"/>
              </w:rPr>
            </w:pPr>
            <w:r w:rsidRPr="003E15D1">
              <w:rPr>
                <w:lang w:val="en-ID"/>
              </w:rPr>
              <w:t>5</w:t>
            </w:r>
          </w:p>
        </w:tc>
        <w:tc>
          <w:tcPr>
            <w:tcW w:w="0" w:type="auto"/>
            <w:vAlign w:val="center"/>
            <w:hideMark/>
          </w:tcPr>
          <w:p w14:paraId="25F41411" w14:textId="77777777" w:rsidR="003E15D1" w:rsidRPr="003E15D1" w:rsidRDefault="003E15D1" w:rsidP="003E15D1">
            <w:pPr>
              <w:spacing w:line="276" w:lineRule="auto"/>
              <w:jc w:val="center"/>
              <w:rPr>
                <w:lang w:val="en-ID"/>
              </w:rPr>
            </w:pPr>
            <w:r w:rsidRPr="003E15D1">
              <w:rPr>
                <w:lang w:val="en-ID"/>
              </w:rPr>
              <w:t>0.50</w:t>
            </w:r>
          </w:p>
        </w:tc>
        <w:tc>
          <w:tcPr>
            <w:tcW w:w="0" w:type="auto"/>
            <w:vAlign w:val="center"/>
            <w:hideMark/>
          </w:tcPr>
          <w:p w14:paraId="1FB2A7EB" w14:textId="77777777" w:rsidR="003E15D1" w:rsidRPr="003E15D1" w:rsidRDefault="003E15D1" w:rsidP="003E15D1">
            <w:pPr>
              <w:spacing w:line="276" w:lineRule="auto"/>
              <w:jc w:val="center"/>
              <w:rPr>
                <w:lang w:val="en-ID"/>
              </w:rPr>
            </w:pPr>
            <w:r w:rsidRPr="003E15D1">
              <w:rPr>
                <w:lang w:val="en-ID"/>
              </w:rPr>
              <w:t>0.00</w:t>
            </w:r>
          </w:p>
        </w:tc>
        <w:tc>
          <w:tcPr>
            <w:tcW w:w="0" w:type="auto"/>
            <w:vAlign w:val="center"/>
            <w:hideMark/>
          </w:tcPr>
          <w:p w14:paraId="23E0B0C0" w14:textId="77777777" w:rsidR="003E15D1" w:rsidRPr="003E15D1" w:rsidRDefault="003E15D1" w:rsidP="003E15D1">
            <w:pPr>
              <w:spacing w:line="276" w:lineRule="auto"/>
              <w:jc w:val="center"/>
              <w:rPr>
                <w:lang w:val="en-ID"/>
              </w:rPr>
            </w:pPr>
            <w:r w:rsidRPr="003E15D1">
              <w:rPr>
                <w:lang w:val="en-ID"/>
              </w:rPr>
              <w:t>0.00</w:t>
            </w:r>
          </w:p>
        </w:tc>
        <w:tc>
          <w:tcPr>
            <w:tcW w:w="0" w:type="auto"/>
            <w:vAlign w:val="center"/>
            <w:hideMark/>
          </w:tcPr>
          <w:p w14:paraId="7DE96913" w14:textId="77777777" w:rsidR="003E15D1" w:rsidRPr="003E15D1" w:rsidRDefault="003E15D1" w:rsidP="003E15D1">
            <w:pPr>
              <w:spacing w:line="276" w:lineRule="auto"/>
              <w:jc w:val="center"/>
              <w:rPr>
                <w:lang w:val="en-ID"/>
              </w:rPr>
            </w:pPr>
            <w:r w:rsidRPr="003E15D1">
              <w:rPr>
                <w:lang w:val="en-ID"/>
              </w:rPr>
              <w:t>1.33</w:t>
            </w:r>
          </w:p>
        </w:tc>
        <w:tc>
          <w:tcPr>
            <w:tcW w:w="0" w:type="auto"/>
            <w:vAlign w:val="center"/>
            <w:hideMark/>
          </w:tcPr>
          <w:p w14:paraId="7E70E7FF" w14:textId="77777777" w:rsidR="003E15D1" w:rsidRPr="003E15D1" w:rsidRDefault="003E15D1" w:rsidP="003E15D1">
            <w:pPr>
              <w:spacing w:line="276" w:lineRule="auto"/>
              <w:jc w:val="center"/>
              <w:rPr>
                <w:lang w:val="en-ID"/>
              </w:rPr>
            </w:pPr>
            <w:r w:rsidRPr="003E15D1">
              <w:rPr>
                <w:lang w:val="en-ID"/>
              </w:rPr>
              <w:t>30.67</w:t>
            </w:r>
          </w:p>
        </w:tc>
        <w:tc>
          <w:tcPr>
            <w:tcW w:w="0" w:type="auto"/>
            <w:vAlign w:val="center"/>
            <w:hideMark/>
          </w:tcPr>
          <w:p w14:paraId="4C8129A2" w14:textId="77777777" w:rsidR="003E15D1" w:rsidRPr="003E15D1" w:rsidRDefault="003E15D1" w:rsidP="003E15D1">
            <w:pPr>
              <w:spacing w:line="276" w:lineRule="auto"/>
              <w:jc w:val="center"/>
              <w:rPr>
                <w:lang w:val="en-ID"/>
              </w:rPr>
            </w:pPr>
            <w:r w:rsidRPr="003E15D1">
              <w:rPr>
                <w:lang w:val="en-ID"/>
              </w:rPr>
              <w:t>68.00</w:t>
            </w:r>
          </w:p>
        </w:tc>
      </w:tr>
      <w:tr w:rsidR="003E15D1" w:rsidRPr="003E15D1" w14:paraId="6A630B81" w14:textId="77777777" w:rsidTr="00592AB3">
        <w:trPr>
          <w:tblCellSpacing w:w="15" w:type="dxa"/>
        </w:trPr>
        <w:tc>
          <w:tcPr>
            <w:tcW w:w="0" w:type="auto"/>
            <w:vAlign w:val="center"/>
            <w:hideMark/>
          </w:tcPr>
          <w:p w14:paraId="7C3ABE2E" w14:textId="77777777" w:rsidR="003E15D1" w:rsidRPr="003E15D1" w:rsidRDefault="003E15D1" w:rsidP="003E15D1">
            <w:pPr>
              <w:spacing w:line="276" w:lineRule="auto"/>
              <w:rPr>
                <w:lang w:val="en-ID"/>
              </w:rPr>
            </w:pPr>
            <w:r w:rsidRPr="003E15D1">
              <w:rPr>
                <w:lang w:val="en-ID"/>
              </w:rPr>
              <w:t>Awareness of Climate Change Seriousness</w:t>
            </w:r>
          </w:p>
        </w:tc>
        <w:tc>
          <w:tcPr>
            <w:tcW w:w="0" w:type="auto"/>
            <w:vAlign w:val="center"/>
            <w:hideMark/>
          </w:tcPr>
          <w:p w14:paraId="749EDBC6" w14:textId="77777777" w:rsidR="003E15D1" w:rsidRPr="003E15D1" w:rsidRDefault="003E15D1" w:rsidP="003E15D1">
            <w:pPr>
              <w:spacing w:line="276" w:lineRule="auto"/>
              <w:jc w:val="center"/>
              <w:rPr>
                <w:lang w:val="en-ID"/>
              </w:rPr>
            </w:pPr>
            <w:r w:rsidRPr="003E15D1">
              <w:rPr>
                <w:lang w:val="en-ID"/>
              </w:rPr>
              <w:t>4.67</w:t>
            </w:r>
          </w:p>
        </w:tc>
        <w:tc>
          <w:tcPr>
            <w:tcW w:w="0" w:type="auto"/>
            <w:vAlign w:val="center"/>
            <w:hideMark/>
          </w:tcPr>
          <w:p w14:paraId="0D623EE2" w14:textId="77777777" w:rsidR="003E15D1" w:rsidRPr="003E15D1" w:rsidRDefault="003E15D1" w:rsidP="003E15D1">
            <w:pPr>
              <w:spacing w:line="276" w:lineRule="auto"/>
              <w:jc w:val="center"/>
              <w:rPr>
                <w:lang w:val="en-ID"/>
              </w:rPr>
            </w:pPr>
            <w:r w:rsidRPr="003E15D1">
              <w:rPr>
                <w:lang w:val="en-ID"/>
              </w:rPr>
              <w:t>5</w:t>
            </w:r>
          </w:p>
        </w:tc>
        <w:tc>
          <w:tcPr>
            <w:tcW w:w="0" w:type="auto"/>
            <w:vAlign w:val="center"/>
            <w:hideMark/>
          </w:tcPr>
          <w:p w14:paraId="0D1312A3" w14:textId="77777777" w:rsidR="003E15D1" w:rsidRPr="003E15D1" w:rsidRDefault="003E15D1" w:rsidP="003E15D1">
            <w:pPr>
              <w:spacing w:line="276" w:lineRule="auto"/>
              <w:jc w:val="center"/>
              <w:rPr>
                <w:lang w:val="en-ID"/>
              </w:rPr>
            </w:pPr>
            <w:r w:rsidRPr="003E15D1">
              <w:rPr>
                <w:lang w:val="en-ID"/>
              </w:rPr>
              <w:t>0.50</w:t>
            </w:r>
          </w:p>
        </w:tc>
        <w:tc>
          <w:tcPr>
            <w:tcW w:w="0" w:type="auto"/>
            <w:vAlign w:val="center"/>
            <w:hideMark/>
          </w:tcPr>
          <w:p w14:paraId="2FBEA2F9" w14:textId="77777777" w:rsidR="003E15D1" w:rsidRPr="003E15D1" w:rsidRDefault="003E15D1" w:rsidP="003E15D1">
            <w:pPr>
              <w:spacing w:line="276" w:lineRule="auto"/>
              <w:jc w:val="center"/>
              <w:rPr>
                <w:lang w:val="en-ID"/>
              </w:rPr>
            </w:pPr>
            <w:r w:rsidRPr="003E15D1">
              <w:rPr>
                <w:lang w:val="en-ID"/>
              </w:rPr>
              <w:t>0.00</w:t>
            </w:r>
          </w:p>
        </w:tc>
        <w:tc>
          <w:tcPr>
            <w:tcW w:w="0" w:type="auto"/>
            <w:vAlign w:val="center"/>
            <w:hideMark/>
          </w:tcPr>
          <w:p w14:paraId="3F7F074B" w14:textId="77777777" w:rsidR="003E15D1" w:rsidRPr="003E15D1" w:rsidRDefault="003E15D1" w:rsidP="003E15D1">
            <w:pPr>
              <w:spacing w:line="276" w:lineRule="auto"/>
              <w:jc w:val="center"/>
              <w:rPr>
                <w:lang w:val="en-ID"/>
              </w:rPr>
            </w:pPr>
            <w:r w:rsidRPr="003E15D1">
              <w:rPr>
                <w:lang w:val="en-ID"/>
              </w:rPr>
              <w:t>0.00</w:t>
            </w:r>
          </w:p>
        </w:tc>
        <w:tc>
          <w:tcPr>
            <w:tcW w:w="0" w:type="auto"/>
            <w:vAlign w:val="center"/>
            <w:hideMark/>
          </w:tcPr>
          <w:p w14:paraId="0747A41D" w14:textId="77777777" w:rsidR="003E15D1" w:rsidRPr="003E15D1" w:rsidRDefault="003E15D1" w:rsidP="003E15D1">
            <w:pPr>
              <w:spacing w:line="276" w:lineRule="auto"/>
              <w:jc w:val="center"/>
              <w:rPr>
                <w:lang w:val="en-ID"/>
              </w:rPr>
            </w:pPr>
            <w:r w:rsidRPr="003E15D1">
              <w:rPr>
                <w:lang w:val="en-ID"/>
              </w:rPr>
              <w:t>1.33</w:t>
            </w:r>
          </w:p>
        </w:tc>
        <w:tc>
          <w:tcPr>
            <w:tcW w:w="0" w:type="auto"/>
            <w:vAlign w:val="center"/>
            <w:hideMark/>
          </w:tcPr>
          <w:p w14:paraId="626F942C" w14:textId="77777777" w:rsidR="003E15D1" w:rsidRPr="003E15D1" w:rsidRDefault="003E15D1" w:rsidP="003E15D1">
            <w:pPr>
              <w:spacing w:line="276" w:lineRule="auto"/>
              <w:jc w:val="center"/>
              <w:rPr>
                <w:lang w:val="en-ID"/>
              </w:rPr>
            </w:pPr>
            <w:r w:rsidRPr="003E15D1">
              <w:rPr>
                <w:lang w:val="en-ID"/>
              </w:rPr>
              <w:t>30.67</w:t>
            </w:r>
          </w:p>
        </w:tc>
        <w:tc>
          <w:tcPr>
            <w:tcW w:w="0" w:type="auto"/>
            <w:vAlign w:val="center"/>
            <w:hideMark/>
          </w:tcPr>
          <w:p w14:paraId="6D943931" w14:textId="77777777" w:rsidR="003E15D1" w:rsidRPr="003E15D1" w:rsidRDefault="003E15D1" w:rsidP="003E15D1">
            <w:pPr>
              <w:spacing w:line="276" w:lineRule="auto"/>
              <w:jc w:val="center"/>
              <w:rPr>
                <w:lang w:val="en-ID"/>
              </w:rPr>
            </w:pPr>
            <w:r w:rsidRPr="003E15D1">
              <w:rPr>
                <w:lang w:val="en-ID"/>
              </w:rPr>
              <w:t>68.00</w:t>
            </w:r>
          </w:p>
        </w:tc>
      </w:tr>
      <w:tr w:rsidR="003E15D1" w:rsidRPr="003E15D1" w14:paraId="1E318531" w14:textId="77777777" w:rsidTr="00592AB3">
        <w:trPr>
          <w:tblCellSpacing w:w="15" w:type="dxa"/>
        </w:trPr>
        <w:tc>
          <w:tcPr>
            <w:tcW w:w="0" w:type="auto"/>
            <w:vAlign w:val="center"/>
            <w:hideMark/>
          </w:tcPr>
          <w:p w14:paraId="74BD33B2" w14:textId="77777777" w:rsidR="003E15D1" w:rsidRPr="003E15D1" w:rsidRDefault="003E15D1" w:rsidP="003E15D1">
            <w:pPr>
              <w:spacing w:line="276" w:lineRule="auto"/>
              <w:rPr>
                <w:lang w:val="en-ID"/>
              </w:rPr>
            </w:pPr>
            <w:r w:rsidRPr="003E15D1">
              <w:rPr>
                <w:lang w:val="en-ID"/>
              </w:rPr>
              <w:t>Negative Impacts of Climate Change</w:t>
            </w:r>
          </w:p>
        </w:tc>
        <w:tc>
          <w:tcPr>
            <w:tcW w:w="0" w:type="auto"/>
            <w:vAlign w:val="center"/>
            <w:hideMark/>
          </w:tcPr>
          <w:p w14:paraId="197519B8" w14:textId="77777777" w:rsidR="003E15D1" w:rsidRPr="003E15D1" w:rsidRDefault="003E15D1" w:rsidP="003E15D1">
            <w:pPr>
              <w:spacing w:line="276" w:lineRule="auto"/>
              <w:jc w:val="center"/>
              <w:rPr>
                <w:lang w:val="en-ID"/>
              </w:rPr>
            </w:pPr>
            <w:r w:rsidRPr="003E15D1">
              <w:rPr>
                <w:lang w:val="en-ID"/>
              </w:rPr>
              <w:t>4.64</w:t>
            </w:r>
          </w:p>
        </w:tc>
        <w:tc>
          <w:tcPr>
            <w:tcW w:w="0" w:type="auto"/>
            <w:vAlign w:val="center"/>
            <w:hideMark/>
          </w:tcPr>
          <w:p w14:paraId="3C686A9B" w14:textId="77777777" w:rsidR="003E15D1" w:rsidRPr="003E15D1" w:rsidRDefault="003E15D1" w:rsidP="003E15D1">
            <w:pPr>
              <w:spacing w:line="276" w:lineRule="auto"/>
              <w:jc w:val="center"/>
              <w:rPr>
                <w:lang w:val="en-ID"/>
              </w:rPr>
            </w:pPr>
            <w:r w:rsidRPr="003E15D1">
              <w:rPr>
                <w:lang w:val="en-ID"/>
              </w:rPr>
              <w:t>5</w:t>
            </w:r>
          </w:p>
        </w:tc>
        <w:tc>
          <w:tcPr>
            <w:tcW w:w="0" w:type="auto"/>
            <w:vAlign w:val="center"/>
            <w:hideMark/>
          </w:tcPr>
          <w:p w14:paraId="0CCE9015" w14:textId="77777777" w:rsidR="003E15D1" w:rsidRPr="003E15D1" w:rsidRDefault="003E15D1" w:rsidP="003E15D1">
            <w:pPr>
              <w:spacing w:line="276" w:lineRule="auto"/>
              <w:jc w:val="center"/>
              <w:rPr>
                <w:lang w:val="en-ID"/>
              </w:rPr>
            </w:pPr>
            <w:r w:rsidRPr="003E15D1">
              <w:rPr>
                <w:lang w:val="en-ID"/>
              </w:rPr>
              <w:t>0.51</w:t>
            </w:r>
          </w:p>
        </w:tc>
        <w:tc>
          <w:tcPr>
            <w:tcW w:w="0" w:type="auto"/>
            <w:vAlign w:val="center"/>
            <w:hideMark/>
          </w:tcPr>
          <w:p w14:paraId="6B7A2BF3" w14:textId="77777777" w:rsidR="003E15D1" w:rsidRPr="003E15D1" w:rsidRDefault="003E15D1" w:rsidP="003E15D1">
            <w:pPr>
              <w:spacing w:line="276" w:lineRule="auto"/>
              <w:jc w:val="center"/>
              <w:rPr>
                <w:lang w:val="en-ID"/>
              </w:rPr>
            </w:pPr>
            <w:r w:rsidRPr="003E15D1">
              <w:rPr>
                <w:lang w:val="en-ID"/>
              </w:rPr>
              <w:t>0.00</w:t>
            </w:r>
          </w:p>
        </w:tc>
        <w:tc>
          <w:tcPr>
            <w:tcW w:w="0" w:type="auto"/>
            <w:vAlign w:val="center"/>
            <w:hideMark/>
          </w:tcPr>
          <w:p w14:paraId="48F4FD91" w14:textId="77777777" w:rsidR="003E15D1" w:rsidRPr="003E15D1" w:rsidRDefault="003E15D1" w:rsidP="003E15D1">
            <w:pPr>
              <w:spacing w:line="276" w:lineRule="auto"/>
              <w:jc w:val="center"/>
              <w:rPr>
                <w:lang w:val="en-ID"/>
              </w:rPr>
            </w:pPr>
            <w:r w:rsidRPr="003E15D1">
              <w:rPr>
                <w:lang w:val="en-ID"/>
              </w:rPr>
              <w:t>0.00</w:t>
            </w:r>
          </w:p>
        </w:tc>
        <w:tc>
          <w:tcPr>
            <w:tcW w:w="0" w:type="auto"/>
            <w:vAlign w:val="center"/>
            <w:hideMark/>
          </w:tcPr>
          <w:p w14:paraId="79B079EA" w14:textId="77777777" w:rsidR="003E15D1" w:rsidRPr="003E15D1" w:rsidRDefault="003E15D1" w:rsidP="003E15D1">
            <w:pPr>
              <w:spacing w:line="276" w:lineRule="auto"/>
              <w:jc w:val="center"/>
              <w:rPr>
                <w:lang w:val="en-ID"/>
              </w:rPr>
            </w:pPr>
            <w:r w:rsidRPr="003E15D1">
              <w:rPr>
                <w:lang w:val="en-ID"/>
              </w:rPr>
              <w:t>1.33</w:t>
            </w:r>
          </w:p>
        </w:tc>
        <w:tc>
          <w:tcPr>
            <w:tcW w:w="0" w:type="auto"/>
            <w:vAlign w:val="center"/>
            <w:hideMark/>
          </w:tcPr>
          <w:p w14:paraId="024208D6" w14:textId="77777777" w:rsidR="003E15D1" w:rsidRPr="003E15D1" w:rsidRDefault="003E15D1" w:rsidP="003E15D1">
            <w:pPr>
              <w:spacing w:line="276" w:lineRule="auto"/>
              <w:jc w:val="center"/>
              <w:rPr>
                <w:lang w:val="en-ID"/>
              </w:rPr>
            </w:pPr>
            <w:r w:rsidRPr="003E15D1">
              <w:rPr>
                <w:lang w:val="en-ID"/>
              </w:rPr>
              <w:t>33.33</w:t>
            </w:r>
          </w:p>
        </w:tc>
        <w:tc>
          <w:tcPr>
            <w:tcW w:w="0" w:type="auto"/>
            <w:vAlign w:val="center"/>
            <w:hideMark/>
          </w:tcPr>
          <w:p w14:paraId="3A59B2EA" w14:textId="77777777" w:rsidR="003E15D1" w:rsidRPr="003E15D1" w:rsidRDefault="003E15D1" w:rsidP="003E15D1">
            <w:pPr>
              <w:spacing w:line="276" w:lineRule="auto"/>
              <w:jc w:val="center"/>
              <w:rPr>
                <w:lang w:val="en-ID"/>
              </w:rPr>
            </w:pPr>
            <w:r w:rsidRPr="003E15D1">
              <w:rPr>
                <w:lang w:val="en-ID"/>
              </w:rPr>
              <w:t>65.33</w:t>
            </w:r>
          </w:p>
        </w:tc>
      </w:tr>
      <w:tr w:rsidR="003E15D1" w:rsidRPr="003E15D1" w14:paraId="14EA4B97" w14:textId="77777777" w:rsidTr="00592AB3">
        <w:trPr>
          <w:tblCellSpacing w:w="15" w:type="dxa"/>
        </w:trPr>
        <w:tc>
          <w:tcPr>
            <w:tcW w:w="0" w:type="auto"/>
            <w:vAlign w:val="center"/>
            <w:hideMark/>
          </w:tcPr>
          <w:p w14:paraId="6CCF6C89" w14:textId="77777777" w:rsidR="003E15D1" w:rsidRPr="003E15D1" w:rsidRDefault="003E15D1" w:rsidP="003E15D1">
            <w:pPr>
              <w:spacing w:line="276" w:lineRule="auto"/>
              <w:rPr>
                <w:lang w:val="en-ID"/>
              </w:rPr>
            </w:pPr>
            <w:r w:rsidRPr="003E15D1">
              <w:rPr>
                <w:lang w:val="en-ID"/>
              </w:rPr>
              <w:t>Interest in Learning about Climate Change</w:t>
            </w:r>
          </w:p>
        </w:tc>
        <w:tc>
          <w:tcPr>
            <w:tcW w:w="0" w:type="auto"/>
            <w:vAlign w:val="center"/>
            <w:hideMark/>
          </w:tcPr>
          <w:p w14:paraId="6C83A566" w14:textId="77777777" w:rsidR="003E15D1" w:rsidRPr="003E15D1" w:rsidRDefault="003E15D1" w:rsidP="003E15D1">
            <w:pPr>
              <w:spacing w:line="276" w:lineRule="auto"/>
              <w:jc w:val="center"/>
              <w:rPr>
                <w:lang w:val="en-ID"/>
              </w:rPr>
            </w:pPr>
            <w:r w:rsidRPr="003E15D1">
              <w:rPr>
                <w:lang w:val="en-ID"/>
              </w:rPr>
              <w:t>4.63</w:t>
            </w:r>
          </w:p>
        </w:tc>
        <w:tc>
          <w:tcPr>
            <w:tcW w:w="0" w:type="auto"/>
            <w:vAlign w:val="center"/>
            <w:hideMark/>
          </w:tcPr>
          <w:p w14:paraId="116D2DF9" w14:textId="77777777" w:rsidR="003E15D1" w:rsidRPr="003E15D1" w:rsidRDefault="003E15D1" w:rsidP="003E15D1">
            <w:pPr>
              <w:spacing w:line="276" w:lineRule="auto"/>
              <w:jc w:val="center"/>
              <w:rPr>
                <w:lang w:val="en-ID"/>
              </w:rPr>
            </w:pPr>
            <w:r w:rsidRPr="003E15D1">
              <w:rPr>
                <w:lang w:val="en-ID"/>
              </w:rPr>
              <w:t>5</w:t>
            </w:r>
          </w:p>
        </w:tc>
        <w:tc>
          <w:tcPr>
            <w:tcW w:w="0" w:type="auto"/>
            <w:vAlign w:val="center"/>
            <w:hideMark/>
          </w:tcPr>
          <w:p w14:paraId="24895CEF" w14:textId="77777777" w:rsidR="003E15D1" w:rsidRPr="003E15D1" w:rsidRDefault="003E15D1" w:rsidP="003E15D1">
            <w:pPr>
              <w:spacing w:line="276" w:lineRule="auto"/>
              <w:jc w:val="center"/>
              <w:rPr>
                <w:lang w:val="en-ID"/>
              </w:rPr>
            </w:pPr>
            <w:r w:rsidRPr="003E15D1">
              <w:rPr>
                <w:lang w:val="en-ID"/>
              </w:rPr>
              <w:t>0.54</w:t>
            </w:r>
          </w:p>
        </w:tc>
        <w:tc>
          <w:tcPr>
            <w:tcW w:w="0" w:type="auto"/>
            <w:vAlign w:val="center"/>
            <w:hideMark/>
          </w:tcPr>
          <w:p w14:paraId="44BF0E7F" w14:textId="77777777" w:rsidR="003E15D1" w:rsidRPr="003E15D1" w:rsidRDefault="003E15D1" w:rsidP="003E15D1">
            <w:pPr>
              <w:spacing w:line="276" w:lineRule="auto"/>
              <w:jc w:val="center"/>
              <w:rPr>
                <w:lang w:val="en-ID"/>
              </w:rPr>
            </w:pPr>
            <w:r w:rsidRPr="003E15D1">
              <w:rPr>
                <w:lang w:val="en-ID"/>
              </w:rPr>
              <w:t>0.00</w:t>
            </w:r>
          </w:p>
        </w:tc>
        <w:tc>
          <w:tcPr>
            <w:tcW w:w="0" w:type="auto"/>
            <w:vAlign w:val="center"/>
            <w:hideMark/>
          </w:tcPr>
          <w:p w14:paraId="709BF786" w14:textId="77777777" w:rsidR="003E15D1" w:rsidRPr="003E15D1" w:rsidRDefault="003E15D1" w:rsidP="003E15D1">
            <w:pPr>
              <w:spacing w:line="276" w:lineRule="auto"/>
              <w:jc w:val="center"/>
              <w:rPr>
                <w:lang w:val="en-ID"/>
              </w:rPr>
            </w:pPr>
            <w:r w:rsidRPr="003E15D1">
              <w:rPr>
                <w:lang w:val="en-ID"/>
              </w:rPr>
              <w:t>0.00</w:t>
            </w:r>
          </w:p>
        </w:tc>
        <w:tc>
          <w:tcPr>
            <w:tcW w:w="0" w:type="auto"/>
            <w:vAlign w:val="center"/>
            <w:hideMark/>
          </w:tcPr>
          <w:p w14:paraId="2A73C445" w14:textId="77777777" w:rsidR="003E15D1" w:rsidRPr="003E15D1" w:rsidRDefault="003E15D1" w:rsidP="003E15D1">
            <w:pPr>
              <w:spacing w:line="276" w:lineRule="auto"/>
              <w:jc w:val="center"/>
              <w:rPr>
                <w:lang w:val="en-ID"/>
              </w:rPr>
            </w:pPr>
            <w:r w:rsidRPr="003E15D1">
              <w:rPr>
                <w:lang w:val="en-ID"/>
              </w:rPr>
              <w:t>2.67</w:t>
            </w:r>
          </w:p>
        </w:tc>
        <w:tc>
          <w:tcPr>
            <w:tcW w:w="0" w:type="auto"/>
            <w:vAlign w:val="center"/>
            <w:hideMark/>
          </w:tcPr>
          <w:p w14:paraId="363D56D2" w14:textId="77777777" w:rsidR="003E15D1" w:rsidRPr="003E15D1" w:rsidRDefault="003E15D1" w:rsidP="003E15D1">
            <w:pPr>
              <w:spacing w:line="276" w:lineRule="auto"/>
              <w:jc w:val="center"/>
              <w:rPr>
                <w:lang w:val="en-ID"/>
              </w:rPr>
            </w:pPr>
            <w:r w:rsidRPr="003E15D1">
              <w:rPr>
                <w:lang w:val="en-ID"/>
              </w:rPr>
              <w:t>32.00</w:t>
            </w:r>
          </w:p>
        </w:tc>
        <w:tc>
          <w:tcPr>
            <w:tcW w:w="0" w:type="auto"/>
            <w:vAlign w:val="center"/>
            <w:hideMark/>
          </w:tcPr>
          <w:p w14:paraId="6A388244" w14:textId="77777777" w:rsidR="003E15D1" w:rsidRPr="003E15D1" w:rsidRDefault="003E15D1" w:rsidP="003E15D1">
            <w:pPr>
              <w:spacing w:line="276" w:lineRule="auto"/>
              <w:jc w:val="center"/>
              <w:rPr>
                <w:lang w:val="en-ID"/>
              </w:rPr>
            </w:pPr>
            <w:r w:rsidRPr="003E15D1">
              <w:rPr>
                <w:lang w:val="en-ID"/>
              </w:rPr>
              <w:t>65.33</w:t>
            </w:r>
          </w:p>
        </w:tc>
      </w:tr>
      <w:tr w:rsidR="003E15D1" w:rsidRPr="003E15D1" w14:paraId="20083A2A" w14:textId="77777777" w:rsidTr="00592AB3">
        <w:trPr>
          <w:tblCellSpacing w:w="15" w:type="dxa"/>
        </w:trPr>
        <w:tc>
          <w:tcPr>
            <w:tcW w:w="0" w:type="auto"/>
            <w:vAlign w:val="center"/>
            <w:hideMark/>
          </w:tcPr>
          <w:p w14:paraId="7B628E02" w14:textId="77777777" w:rsidR="003E15D1" w:rsidRPr="003E15D1" w:rsidRDefault="003E15D1" w:rsidP="003E15D1">
            <w:pPr>
              <w:spacing w:line="276" w:lineRule="auto"/>
              <w:rPr>
                <w:lang w:val="en-ID"/>
              </w:rPr>
            </w:pPr>
            <w:r w:rsidRPr="003E15D1">
              <w:rPr>
                <w:lang w:val="en-ID"/>
              </w:rPr>
              <w:t>Discomfort When Climate Issues Are Ignored</w:t>
            </w:r>
          </w:p>
        </w:tc>
        <w:tc>
          <w:tcPr>
            <w:tcW w:w="0" w:type="auto"/>
            <w:vAlign w:val="center"/>
            <w:hideMark/>
          </w:tcPr>
          <w:p w14:paraId="0EEEDEBC" w14:textId="77777777" w:rsidR="003E15D1" w:rsidRPr="003E15D1" w:rsidRDefault="003E15D1" w:rsidP="003E15D1">
            <w:pPr>
              <w:spacing w:line="276" w:lineRule="auto"/>
              <w:jc w:val="center"/>
              <w:rPr>
                <w:lang w:val="en-ID"/>
              </w:rPr>
            </w:pPr>
            <w:r w:rsidRPr="003E15D1">
              <w:rPr>
                <w:lang w:val="en-ID"/>
              </w:rPr>
              <w:t>4.63</w:t>
            </w:r>
          </w:p>
        </w:tc>
        <w:tc>
          <w:tcPr>
            <w:tcW w:w="0" w:type="auto"/>
            <w:vAlign w:val="center"/>
            <w:hideMark/>
          </w:tcPr>
          <w:p w14:paraId="7CE39D72" w14:textId="77777777" w:rsidR="003E15D1" w:rsidRPr="003E15D1" w:rsidRDefault="003E15D1" w:rsidP="003E15D1">
            <w:pPr>
              <w:spacing w:line="276" w:lineRule="auto"/>
              <w:jc w:val="center"/>
              <w:rPr>
                <w:lang w:val="en-ID"/>
              </w:rPr>
            </w:pPr>
            <w:r w:rsidRPr="003E15D1">
              <w:rPr>
                <w:lang w:val="en-ID"/>
              </w:rPr>
              <w:t>5</w:t>
            </w:r>
          </w:p>
        </w:tc>
        <w:tc>
          <w:tcPr>
            <w:tcW w:w="0" w:type="auto"/>
            <w:vAlign w:val="center"/>
            <w:hideMark/>
          </w:tcPr>
          <w:p w14:paraId="431C25BC" w14:textId="77777777" w:rsidR="003E15D1" w:rsidRPr="003E15D1" w:rsidRDefault="003E15D1" w:rsidP="003E15D1">
            <w:pPr>
              <w:spacing w:line="276" w:lineRule="auto"/>
              <w:jc w:val="center"/>
              <w:rPr>
                <w:lang w:val="en-ID"/>
              </w:rPr>
            </w:pPr>
            <w:r w:rsidRPr="003E15D1">
              <w:rPr>
                <w:lang w:val="en-ID"/>
              </w:rPr>
              <w:t>0.54</w:t>
            </w:r>
          </w:p>
        </w:tc>
        <w:tc>
          <w:tcPr>
            <w:tcW w:w="0" w:type="auto"/>
            <w:vAlign w:val="center"/>
            <w:hideMark/>
          </w:tcPr>
          <w:p w14:paraId="29E078F0" w14:textId="77777777" w:rsidR="003E15D1" w:rsidRPr="003E15D1" w:rsidRDefault="003E15D1" w:rsidP="003E15D1">
            <w:pPr>
              <w:spacing w:line="276" w:lineRule="auto"/>
              <w:jc w:val="center"/>
              <w:rPr>
                <w:lang w:val="en-ID"/>
              </w:rPr>
            </w:pPr>
            <w:r w:rsidRPr="003E15D1">
              <w:rPr>
                <w:lang w:val="en-ID"/>
              </w:rPr>
              <w:t>0.00</w:t>
            </w:r>
          </w:p>
        </w:tc>
        <w:tc>
          <w:tcPr>
            <w:tcW w:w="0" w:type="auto"/>
            <w:vAlign w:val="center"/>
            <w:hideMark/>
          </w:tcPr>
          <w:p w14:paraId="238C4849" w14:textId="77777777" w:rsidR="003E15D1" w:rsidRPr="003E15D1" w:rsidRDefault="003E15D1" w:rsidP="003E15D1">
            <w:pPr>
              <w:spacing w:line="276" w:lineRule="auto"/>
              <w:jc w:val="center"/>
              <w:rPr>
                <w:lang w:val="en-ID"/>
              </w:rPr>
            </w:pPr>
            <w:r w:rsidRPr="003E15D1">
              <w:rPr>
                <w:lang w:val="en-ID"/>
              </w:rPr>
              <w:t>0.00</w:t>
            </w:r>
          </w:p>
        </w:tc>
        <w:tc>
          <w:tcPr>
            <w:tcW w:w="0" w:type="auto"/>
            <w:vAlign w:val="center"/>
            <w:hideMark/>
          </w:tcPr>
          <w:p w14:paraId="57BDDBBB" w14:textId="77777777" w:rsidR="003E15D1" w:rsidRPr="003E15D1" w:rsidRDefault="003E15D1" w:rsidP="003E15D1">
            <w:pPr>
              <w:spacing w:line="276" w:lineRule="auto"/>
              <w:jc w:val="center"/>
              <w:rPr>
                <w:lang w:val="en-ID"/>
              </w:rPr>
            </w:pPr>
            <w:r w:rsidRPr="003E15D1">
              <w:rPr>
                <w:lang w:val="en-ID"/>
              </w:rPr>
              <w:t>2.67</w:t>
            </w:r>
          </w:p>
        </w:tc>
        <w:tc>
          <w:tcPr>
            <w:tcW w:w="0" w:type="auto"/>
            <w:vAlign w:val="center"/>
            <w:hideMark/>
          </w:tcPr>
          <w:p w14:paraId="29A36C27" w14:textId="77777777" w:rsidR="003E15D1" w:rsidRPr="003E15D1" w:rsidRDefault="003E15D1" w:rsidP="003E15D1">
            <w:pPr>
              <w:spacing w:line="276" w:lineRule="auto"/>
              <w:jc w:val="center"/>
              <w:rPr>
                <w:lang w:val="en-ID"/>
              </w:rPr>
            </w:pPr>
            <w:r w:rsidRPr="003E15D1">
              <w:rPr>
                <w:lang w:val="en-ID"/>
              </w:rPr>
              <w:t>32.00</w:t>
            </w:r>
          </w:p>
        </w:tc>
        <w:tc>
          <w:tcPr>
            <w:tcW w:w="0" w:type="auto"/>
            <w:vAlign w:val="center"/>
            <w:hideMark/>
          </w:tcPr>
          <w:p w14:paraId="7D78D820" w14:textId="77777777" w:rsidR="003E15D1" w:rsidRPr="003E15D1" w:rsidRDefault="003E15D1" w:rsidP="003E15D1">
            <w:pPr>
              <w:spacing w:line="276" w:lineRule="auto"/>
              <w:jc w:val="center"/>
              <w:rPr>
                <w:lang w:val="en-ID"/>
              </w:rPr>
            </w:pPr>
            <w:r w:rsidRPr="003E15D1">
              <w:rPr>
                <w:lang w:val="en-ID"/>
              </w:rPr>
              <w:t>65.33</w:t>
            </w:r>
          </w:p>
        </w:tc>
      </w:tr>
      <w:tr w:rsidR="003E15D1" w:rsidRPr="003E15D1" w14:paraId="5EAB57C1" w14:textId="77777777" w:rsidTr="00592AB3">
        <w:trPr>
          <w:tblCellSpacing w:w="15" w:type="dxa"/>
        </w:trPr>
        <w:tc>
          <w:tcPr>
            <w:tcW w:w="0" w:type="auto"/>
            <w:vAlign w:val="center"/>
            <w:hideMark/>
          </w:tcPr>
          <w:p w14:paraId="76AC1E84" w14:textId="77777777" w:rsidR="003E15D1" w:rsidRPr="003E15D1" w:rsidRDefault="003E15D1" w:rsidP="003E15D1">
            <w:pPr>
              <w:spacing w:line="276" w:lineRule="auto"/>
              <w:rPr>
                <w:lang w:val="en-ID"/>
              </w:rPr>
            </w:pPr>
            <w:r w:rsidRPr="003E15D1">
              <w:rPr>
                <w:lang w:val="en-ID"/>
              </w:rPr>
              <w:t>Importance of Carbon Reduction</w:t>
            </w:r>
          </w:p>
        </w:tc>
        <w:tc>
          <w:tcPr>
            <w:tcW w:w="0" w:type="auto"/>
            <w:vAlign w:val="center"/>
            <w:hideMark/>
          </w:tcPr>
          <w:p w14:paraId="441BB62C" w14:textId="77777777" w:rsidR="003E15D1" w:rsidRPr="003E15D1" w:rsidRDefault="003E15D1" w:rsidP="003E15D1">
            <w:pPr>
              <w:spacing w:line="276" w:lineRule="auto"/>
              <w:jc w:val="center"/>
              <w:rPr>
                <w:lang w:val="en-ID"/>
              </w:rPr>
            </w:pPr>
            <w:r w:rsidRPr="003E15D1">
              <w:rPr>
                <w:lang w:val="en-ID"/>
              </w:rPr>
              <w:t>4.59</w:t>
            </w:r>
          </w:p>
        </w:tc>
        <w:tc>
          <w:tcPr>
            <w:tcW w:w="0" w:type="auto"/>
            <w:vAlign w:val="center"/>
            <w:hideMark/>
          </w:tcPr>
          <w:p w14:paraId="76289883" w14:textId="77777777" w:rsidR="003E15D1" w:rsidRPr="003E15D1" w:rsidRDefault="003E15D1" w:rsidP="003E15D1">
            <w:pPr>
              <w:spacing w:line="276" w:lineRule="auto"/>
              <w:jc w:val="center"/>
              <w:rPr>
                <w:lang w:val="en-ID"/>
              </w:rPr>
            </w:pPr>
            <w:r w:rsidRPr="003E15D1">
              <w:rPr>
                <w:lang w:val="en-ID"/>
              </w:rPr>
              <w:t>5</w:t>
            </w:r>
          </w:p>
        </w:tc>
        <w:tc>
          <w:tcPr>
            <w:tcW w:w="0" w:type="auto"/>
            <w:vAlign w:val="center"/>
            <w:hideMark/>
          </w:tcPr>
          <w:p w14:paraId="0E6FD453" w14:textId="77777777" w:rsidR="003E15D1" w:rsidRPr="003E15D1" w:rsidRDefault="003E15D1" w:rsidP="003E15D1">
            <w:pPr>
              <w:spacing w:line="276" w:lineRule="auto"/>
              <w:jc w:val="center"/>
              <w:rPr>
                <w:lang w:val="en-ID"/>
              </w:rPr>
            </w:pPr>
            <w:r w:rsidRPr="003E15D1">
              <w:rPr>
                <w:lang w:val="en-ID"/>
              </w:rPr>
              <w:t>0.52</w:t>
            </w:r>
          </w:p>
        </w:tc>
        <w:tc>
          <w:tcPr>
            <w:tcW w:w="0" w:type="auto"/>
            <w:vAlign w:val="center"/>
            <w:hideMark/>
          </w:tcPr>
          <w:p w14:paraId="73313C01" w14:textId="77777777" w:rsidR="003E15D1" w:rsidRPr="003E15D1" w:rsidRDefault="003E15D1" w:rsidP="003E15D1">
            <w:pPr>
              <w:spacing w:line="276" w:lineRule="auto"/>
              <w:jc w:val="center"/>
              <w:rPr>
                <w:lang w:val="en-ID"/>
              </w:rPr>
            </w:pPr>
            <w:r w:rsidRPr="003E15D1">
              <w:rPr>
                <w:lang w:val="en-ID"/>
              </w:rPr>
              <w:t>0.00</w:t>
            </w:r>
          </w:p>
        </w:tc>
        <w:tc>
          <w:tcPr>
            <w:tcW w:w="0" w:type="auto"/>
            <w:vAlign w:val="center"/>
            <w:hideMark/>
          </w:tcPr>
          <w:p w14:paraId="42D7F9FC" w14:textId="77777777" w:rsidR="003E15D1" w:rsidRPr="003E15D1" w:rsidRDefault="003E15D1" w:rsidP="003E15D1">
            <w:pPr>
              <w:spacing w:line="276" w:lineRule="auto"/>
              <w:jc w:val="center"/>
              <w:rPr>
                <w:lang w:val="en-ID"/>
              </w:rPr>
            </w:pPr>
            <w:r w:rsidRPr="003E15D1">
              <w:rPr>
                <w:lang w:val="en-ID"/>
              </w:rPr>
              <w:t>0.00</w:t>
            </w:r>
          </w:p>
        </w:tc>
        <w:tc>
          <w:tcPr>
            <w:tcW w:w="0" w:type="auto"/>
            <w:vAlign w:val="center"/>
            <w:hideMark/>
          </w:tcPr>
          <w:p w14:paraId="729E09B1" w14:textId="77777777" w:rsidR="003E15D1" w:rsidRPr="003E15D1" w:rsidRDefault="003E15D1" w:rsidP="003E15D1">
            <w:pPr>
              <w:spacing w:line="276" w:lineRule="auto"/>
              <w:jc w:val="center"/>
              <w:rPr>
                <w:lang w:val="en-ID"/>
              </w:rPr>
            </w:pPr>
            <w:r w:rsidRPr="003E15D1">
              <w:rPr>
                <w:lang w:val="en-ID"/>
              </w:rPr>
              <w:t>1.33</w:t>
            </w:r>
          </w:p>
        </w:tc>
        <w:tc>
          <w:tcPr>
            <w:tcW w:w="0" w:type="auto"/>
            <w:vAlign w:val="center"/>
            <w:hideMark/>
          </w:tcPr>
          <w:p w14:paraId="33E6C0A4" w14:textId="77777777" w:rsidR="003E15D1" w:rsidRPr="003E15D1" w:rsidRDefault="003E15D1" w:rsidP="003E15D1">
            <w:pPr>
              <w:spacing w:line="276" w:lineRule="auto"/>
              <w:jc w:val="center"/>
              <w:rPr>
                <w:lang w:val="en-ID"/>
              </w:rPr>
            </w:pPr>
            <w:r w:rsidRPr="003E15D1">
              <w:rPr>
                <w:lang w:val="en-ID"/>
              </w:rPr>
              <w:t>38.67</w:t>
            </w:r>
          </w:p>
        </w:tc>
        <w:tc>
          <w:tcPr>
            <w:tcW w:w="0" w:type="auto"/>
            <w:vAlign w:val="center"/>
            <w:hideMark/>
          </w:tcPr>
          <w:p w14:paraId="36791870" w14:textId="77777777" w:rsidR="003E15D1" w:rsidRPr="003E15D1" w:rsidRDefault="003E15D1" w:rsidP="003E15D1">
            <w:pPr>
              <w:spacing w:line="276" w:lineRule="auto"/>
              <w:jc w:val="center"/>
              <w:rPr>
                <w:lang w:val="en-ID"/>
              </w:rPr>
            </w:pPr>
            <w:r w:rsidRPr="003E15D1">
              <w:rPr>
                <w:lang w:val="en-ID"/>
              </w:rPr>
              <w:t>60.00</w:t>
            </w:r>
          </w:p>
        </w:tc>
      </w:tr>
      <w:tr w:rsidR="003E15D1" w:rsidRPr="003E15D1" w14:paraId="5CDC1DDF" w14:textId="77777777" w:rsidTr="00592AB3">
        <w:trPr>
          <w:tblCellSpacing w:w="15" w:type="dxa"/>
        </w:trPr>
        <w:tc>
          <w:tcPr>
            <w:tcW w:w="0" w:type="auto"/>
            <w:vAlign w:val="center"/>
            <w:hideMark/>
          </w:tcPr>
          <w:p w14:paraId="6E52637F" w14:textId="77777777" w:rsidR="003E15D1" w:rsidRPr="003E15D1" w:rsidRDefault="003E15D1" w:rsidP="003E15D1">
            <w:pPr>
              <w:spacing w:line="276" w:lineRule="auto"/>
              <w:rPr>
                <w:lang w:val="en-ID"/>
              </w:rPr>
            </w:pPr>
            <w:r w:rsidRPr="003E15D1">
              <w:rPr>
                <w:lang w:val="en-ID"/>
              </w:rPr>
              <w:t>Concern for Future Generations</w:t>
            </w:r>
          </w:p>
        </w:tc>
        <w:tc>
          <w:tcPr>
            <w:tcW w:w="0" w:type="auto"/>
            <w:vAlign w:val="center"/>
            <w:hideMark/>
          </w:tcPr>
          <w:p w14:paraId="69BFFDEA" w14:textId="77777777" w:rsidR="003E15D1" w:rsidRPr="003E15D1" w:rsidRDefault="003E15D1" w:rsidP="003E15D1">
            <w:pPr>
              <w:spacing w:line="276" w:lineRule="auto"/>
              <w:jc w:val="center"/>
              <w:rPr>
                <w:lang w:val="en-ID"/>
              </w:rPr>
            </w:pPr>
            <w:r w:rsidRPr="003E15D1">
              <w:rPr>
                <w:lang w:val="en-ID"/>
              </w:rPr>
              <w:t>4.43</w:t>
            </w:r>
          </w:p>
        </w:tc>
        <w:tc>
          <w:tcPr>
            <w:tcW w:w="0" w:type="auto"/>
            <w:vAlign w:val="center"/>
            <w:hideMark/>
          </w:tcPr>
          <w:p w14:paraId="057CE0BD" w14:textId="77777777" w:rsidR="003E15D1" w:rsidRPr="003E15D1" w:rsidRDefault="003E15D1" w:rsidP="003E15D1">
            <w:pPr>
              <w:spacing w:line="276" w:lineRule="auto"/>
              <w:jc w:val="center"/>
              <w:rPr>
                <w:lang w:val="en-ID"/>
              </w:rPr>
            </w:pPr>
            <w:r w:rsidRPr="003E15D1">
              <w:rPr>
                <w:lang w:val="en-ID"/>
              </w:rPr>
              <w:t>5</w:t>
            </w:r>
          </w:p>
        </w:tc>
        <w:tc>
          <w:tcPr>
            <w:tcW w:w="0" w:type="auto"/>
            <w:vAlign w:val="center"/>
            <w:hideMark/>
          </w:tcPr>
          <w:p w14:paraId="22C66743" w14:textId="77777777" w:rsidR="003E15D1" w:rsidRPr="003E15D1" w:rsidRDefault="003E15D1" w:rsidP="003E15D1">
            <w:pPr>
              <w:spacing w:line="276" w:lineRule="auto"/>
              <w:jc w:val="center"/>
              <w:rPr>
                <w:lang w:val="en-ID"/>
              </w:rPr>
            </w:pPr>
            <w:r w:rsidRPr="003E15D1">
              <w:rPr>
                <w:lang w:val="en-ID"/>
              </w:rPr>
              <w:t>0.68</w:t>
            </w:r>
          </w:p>
        </w:tc>
        <w:tc>
          <w:tcPr>
            <w:tcW w:w="0" w:type="auto"/>
            <w:vAlign w:val="center"/>
            <w:hideMark/>
          </w:tcPr>
          <w:p w14:paraId="30743C73" w14:textId="77777777" w:rsidR="003E15D1" w:rsidRPr="003E15D1" w:rsidRDefault="003E15D1" w:rsidP="003E15D1">
            <w:pPr>
              <w:spacing w:line="276" w:lineRule="auto"/>
              <w:jc w:val="center"/>
              <w:rPr>
                <w:lang w:val="en-ID"/>
              </w:rPr>
            </w:pPr>
            <w:r w:rsidRPr="003E15D1">
              <w:rPr>
                <w:lang w:val="en-ID"/>
              </w:rPr>
              <w:t>0.00</w:t>
            </w:r>
          </w:p>
        </w:tc>
        <w:tc>
          <w:tcPr>
            <w:tcW w:w="0" w:type="auto"/>
            <w:vAlign w:val="center"/>
            <w:hideMark/>
          </w:tcPr>
          <w:p w14:paraId="763FC9B6" w14:textId="77777777" w:rsidR="003E15D1" w:rsidRPr="003E15D1" w:rsidRDefault="003E15D1" w:rsidP="003E15D1">
            <w:pPr>
              <w:spacing w:line="276" w:lineRule="auto"/>
              <w:jc w:val="center"/>
              <w:rPr>
                <w:lang w:val="en-ID"/>
              </w:rPr>
            </w:pPr>
            <w:r w:rsidRPr="003E15D1">
              <w:rPr>
                <w:lang w:val="en-ID"/>
              </w:rPr>
              <w:t>0.00</w:t>
            </w:r>
          </w:p>
        </w:tc>
        <w:tc>
          <w:tcPr>
            <w:tcW w:w="0" w:type="auto"/>
            <w:vAlign w:val="center"/>
            <w:hideMark/>
          </w:tcPr>
          <w:p w14:paraId="082A4554" w14:textId="77777777" w:rsidR="003E15D1" w:rsidRPr="003E15D1" w:rsidRDefault="003E15D1" w:rsidP="003E15D1">
            <w:pPr>
              <w:spacing w:line="276" w:lineRule="auto"/>
              <w:jc w:val="center"/>
              <w:rPr>
                <w:lang w:val="en-ID"/>
              </w:rPr>
            </w:pPr>
            <w:r w:rsidRPr="003E15D1">
              <w:rPr>
                <w:lang w:val="en-ID"/>
              </w:rPr>
              <w:t>10.67</w:t>
            </w:r>
          </w:p>
        </w:tc>
        <w:tc>
          <w:tcPr>
            <w:tcW w:w="0" w:type="auto"/>
            <w:vAlign w:val="center"/>
            <w:hideMark/>
          </w:tcPr>
          <w:p w14:paraId="58B264E1" w14:textId="77777777" w:rsidR="003E15D1" w:rsidRPr="003E15D1" w:rsidRDefault="003E15D1" w:rsidP="003E15D1">
            <w:pPr>
              <w:spacing w:line="276" w:lineRule="auto"/>
              <w:jc w:val="center"/>
              <w:rPr>
                <w:lang w:val="en-ID"/>
              </w:rPr>
            </w:pPr>
            <w:r w:rsidRPr="003E15D1">
              <w:rPr>
                <w:lang w:val="en-ID"/>
              </w:rPr>
              <w:t>36.00</w:t>
            </w:r>
          </w:p>
        </w:tc>
        <w:tc>
          <w:tcPr>
            <w:tcW w:w="0" w:type="auto"/>
            <w:vAlign w:val="center"/>
            <w:hideMark/>
          </w:tcPr>
          <w:p w14:paraId="4ED502E0" w14:textId="77777777" w:rsidR="003E15D1" w:rsidRPr="003E15D1" w:rsidRDefault="003E15D1" w:rsidP="003E15D1">
            <w:pPr>
              <w:spacing w:line="276" w:lineRule="auto"/>
              <w:jc w:val="center"/>
              <w:rPr>
                <w:lang w:val="en-ID"/>
              </w:rPr>
            </w:pPr>
            <w:r w:rsidRPr="003E15D1">
              <w:rPr>
                <w:lang w:val="en-ID"/>
              </w:rPr>
              <w:t>53.33</w:t>
            </w:r>
          </w:p>
        </w:tc>
      </w:tr>
      <w:tr w:rsidR="003E15D1" w:rsidRPr="003E15D1" w14:paraId="5241B0CB" w14:textId="77777777" w:rsidTr="00592AB3">
        <w:trPr>
          <w:tblCellSpacing w:w="15" w:type="dxa"/>
        </w:trPr>
        <w:tc>
          <w:tcPr>
            <w:tcW w:w="0" w:type="auto"/>
            <w:vAlign w:val="center"/>
            <w:hideMark/>
          </w:tcPr>
          <w:p w14:paraId="0372CD55" w14:textId="77777777" w:rsidR="003E15D1" w:rsidRPr="003E15D1" w:rsidRDefault="003E15D1" w:rsidP="003E15D1">
            <w:pPr>
              <w:spacing w:line="276" w:lineRule="auto"/>
              <w:rPr>
                <w:lang w:val="en-ID"/>
              </w:rPr>
            </w:pPr>
            <w:r w:rsidRPr="003E15D1">
              <w:rPr>
                <w:lang w:val="en-ID"/>
              </w:rPr>
              <w:t>Role of Universities</w:t>
            </w:r>
          </w:p>
        </w:tc>
        <w:tc>
          <w:tcPr>
            <w:tcW w:w="0" w:type="auto"/>
            <w:vAlign w:val="center"/>
            <w:hideMark/>
          </w:tcPr>
          <w:p w14:paraId="663BD6C5" w14:textId="77777777" w:rsidR="003E15D1" w:rsidRPr="003E15D1" w:rsidRDefault="003E15D1" w:rsidP="003E15D1">
            <w:pPr>
              <w:spacing w:line="276" w:lineRule="auto"/>
              <w:jc w:val="center"/>
              <w:rPr>
                <w:lang w:val="en-ID"/>
              </w:rPr>
            </w:pPr>
            <w:r w:rsidRPr="003E15D1">
              <w:rPr>
                <w:lang w:val="en-ID"/>
              </w:rPr>
              <w:t>4.37</w:t>
            </w:r>
          </w:p>
        </w:tc>
        <w:tc>
          <w:tcPr>
            <w:tcW w:w="0" w:type="auto"/>
            <w:vAlign w:val="center"/>
            <w:hideMark/>
          </w:tcPr>
          <w:p w14:paraId="20AB39CE" w14:textId="77777777" w:rsidR="003E15D1" w:rsidRPr="003E15D1" w:rsidRDefault="003E15D1" w:rsidP="003E15D1">
            <w:pPr>
              <w:spacing w:line="276" w:lineRule="auto"/>
              <w:jc w:val="center"/>
              <w:rPr>
                <w:lang w:val="en-ID"/>
              </w:rPr>
            </w:pPr>
            <w:r w:rsidRPr="003E15D1">
              <w:rPr>
                <w:lang w:val="en-ID"/>
              </w:rPr>
              <w:t>4</w:t>
            </w:r>
          </w:p>
        </w:tc>
        <w:tc>
          <w:tcPr>
            <w:tcW w:w="0" w:type="auto"/>
            <w:vAlign w:val="center"/>
            <w:hideMark/>
          </w:tcPr>
          <w:p w14:paraId="63D55F70" w14:textId="77777777" w:rsidR="003E15D1" w:rsidRPr="003E15D1" w:rsidRDefault="003E15D1" w:rsidP="003E15D1">
            <w:pPr>
              <w:spacing w:line="276" w:lineRule="auto"/>
              <w:jc w:val="center"/>
              <w:rPr>
                <w:lang w:val="en-ID"/>
              </w:rPr>
            </w:pPr>
            <w:r w:rsidRPr="003E15D1">
              <w:rPr>
                <w:lang w:val="en-ID"/>
              </w:rPr>
              <w:t>0.69</w:t>
            </w:r>
          </w:p>
        </w:tc>
        <w:tc>
          <w:tcPr>
            <w:tcW w:w="0" w:type="auto"/>
            <w:vAlign w:val="center"/>
            <w:hideMark/>
          </w:tcPr>
          <w:p w14:paraId="0BBB3018" w14:textId="77777777" w:rsidR="003E15D1" w:rsidRPr="003E15D1" w:rsidRDefault="003E15D1" w:rsidP="003E15D1">
            <w:pPr>
              <w:spacing w:line="276" w:lineRule="auto"/>
              <w:jc w:val="center"/>
              <w:rPr>
                <w:lang w:val="en-ID"/>
              </w:rPr>
            </w:pPr>
            <w:r w:rsidRPr="003E15D1">
              <w:rPr>
                <w:lang w:val="en-ID"/>
              </w:rPr>
              <w:t>0.00</w:t>
            </w:r>
          </w:p>
        </w:tc>
        <w:tc>
          <w:tcPr>
            <w:tcW w:w="0" w:type="auto"/>
            <w:vAlign w:val="center"/>
            <w:hideMark/>
          </w:tcPr>
          <w:p w14:paraId="2730CB7B" w14:textId="77777777" w:rsidR="003E15D1" w:rsidRPr="003E15D1" w:rsidRDefault="003E15D1" w:rsidP="003E15D1">
            <w:pPr>
              <w:spacing w:line="276" w:lineRule="auto"/>
              <w:jc w:val="center"/>
              <w:rPr>
                <w:lang w:val="en-ID"/>
              </w:rPr>
            </w:pPr>
            <w:r w:rsidRPr="003E15D1">
              <w:rPr>
                <w:lang w:val="en-ID"/>
              </w:rPr>
              <w:t>1.33</w:t>
            </w:r>
          </w:p>
        </w:tc>
        <w:tc>
          <w:tcPr>
            <w:tcW w:w="0" w:type="auto"/>
            <w:vAlign w:val="center"/>
            <w:hideMark/>
          </w:tcPr>
          <w:p w14:paraId="15FB0175" w14:textId="77777777" w:rsidR="003E15D1" w:rsidRPr="003E15D1" w:rsidRDefault="003E15D1" w:rsidP="003E15D1">
            <w:pPr>
              <w:spacing w:line="276" w:lineRule="auto"/>
              <w:jc w:val="center"/>
              <w:rPr>
                <w:lang w:val="en-ID"/>
              </w:rPr>
            </w:pPr>
            <w:r w:rsidRPr="003E15D1">
              <w:rPr>
                <w:lang w:val="en-ID"/>
              </w:rPr>
              <w:t>8.00</w:t>
            </w:r>
          </w:p>
        </w:tc>
        <w:tc>
          <w:tcPr>
            <w:tcW w:w="0" w:type="auto"/>
            <w:vAlign w:val="center"/>
            <w:hideMark/>
          </w:tcPr>
          <w:p w14:paraId="59739BD3" w14:textId="77777777" w:rsidR="003E15D1" w:rsidRPr="003E15D1" w:rsidRDefault="003E15D1" w:rsidP="003E15D1">
            <w:pPr>
              <w:spacing w:line="276" w:lineRule="auto"/>
              <w:jc w:val="center"/>
              <w:rPr>
                <w:lang w:val="en-ID"/>
              </w:rPr>
            </w:pPr>
            <w:r w:rsidRPr="003E15D1">
              <w:rPr>
                <w:lang w:val="en-ID"/>
              </w:rPr>
              <w:t>42.67</w:t>
            </w:r>
          </w:p>
        </w:tc>
        <w:tc>
          <w:tcPr>
            <w:tcW w:w="0" w:type="auto"/>
            <w:vAlign w:val="center"/>
            <w:hideMark/>
          </w:tcPr>
          <w:p w14:paraId="432DE1F1" w14:textId="77777777" w:rsidR="003E15D1" w:rsidRPr="003E15D1" w:rsidRDefault="003E15D1" w:rsidP="003E15D1">
            <w:pPr>
              <w:spacing w:line="276" w:lineRule="auto"/>
              <w:jc w:val="center"/>
              <w:rPr>
                <w:lang w:val="en-ID"/>
              </w:rPr>
            </w:pPr>
            <w:r w:rsidRPr="003E15D1">
              <w:rPr>
                <w:lang w:val="en-ID"/>
              </w:rPr>
              <w:t>48.00</w:t>
            </w:r>
          </w:p>
        </w:tc>
      </w:tr>
      <w:tr w:rsidR="003E15D1" w:rsidRPr="003E15D1" w14:paraId="35909A90" w14:textId="77777777" w:rsidTr="00592AB3">
        <w:trPr>
          <w:tblCellSpacing w:w="15" w:type="dxa"/>
        </w:trPr>
        <w:tc>
          <w:tcPr>
            <w:tcW w:w="0" w:type="auto"/>
            <w:vAlign w:val="center"/>
            <w:hideMark/>
          </w:tcPr>
          <w:p w14:paraId="3D283835" w14:textId="77777777" w:rsidR="003E15D1" w:rsidRPr="003E15D1" w:rsidRDefault="003E15D1" w:rsidP="003E15D1">
            <w:pPr>
              <w:spacing w:line="276" w:lineRule="auto"/>
              <w:rPr>
                <w:lang w:val="en-ID"/>
              </w:rPr>
            </w:pPr>
            <w:r w:rsidRPr="003E15D1">
              <w:rPr>
                <w:lang w:val="en-ID"/>
              </w:rPr>
              <w:t>Personal Responsibility</w:t>
            </w:r>
          </w:p>
        </w:tc>
        <w:tc>
          <w:tcPr>
            <w:tcW w:w="0" w:type="auto"/>
            <w:vAlign w:val="center"/>
            <w:hideMark/>
          </w:tcPr>
          <w:p w14:paraId="4B0128A3" w14:textId="77777777" w:rsidR="003E15D1" w:rsidRPr="003E15D1" w:rsidRDefault="003E15D1" w:rsidP="003E15D1">
            <w:pPr>
              <w:spacing w:line="276" w:lineRule="auto"/>
              <w:jc w:val="center"/>
              <w:rPr>
                <w:lang w:val="en-ID"/>
              </w:rPr>
            </w:pPr>
            <w:r w:rsidRPr="003E15D1">
              <w:rPr>
                <w:lang w:val="en-ID"/>
              </w:rPr>
              <w:t>4.28</w:t>
            </w:r>
          </w:p>
        </w:tc>
        <w:tc>
          <w:tcPr>
            <w:tcW w:w="0" w:type="auto"/>
            <w:vAlign w:val="center"/>
            <w:hideMark/>
          </w:tcPr>
          <w:p w14:paraId="0680D7D3" w14:textId="77777777" w:rsidR="003E15D1" w:rsidRPr="003E15D1" w:rsidRDefault="003E15D1" w:rsidP="003E15D1">
            <w:pPr>
              <w:spacing w:line="276" w:lineRule="auto"/>
              <w:jc w:val="center"/>
              <w:rPr>
                <w:lang w:val="en-ID"/>
              </w:rPr>
            </w:pPr>
            <w:r w:rsidRPr="003E15D1">
              <w:rPr>
                <w:lang w:val="en-ID"/>
              </w:rPr>
              <w:t>4</w:t>
            </w:r>
          </w:p>
        </w:tc>
        <w:tc>
          <w:tcPr>
            <w:tcW w:w="0" w:type="auto"/>
            <w:vAlign w:val="center"/>
            <w:hideMark/>
          </w:tcPr>
          <w:p w14:paraId="17E46EA1" w14:textId="77777777" w:rsidR="003E15D1" w:rsidRPr="003E15D1" w:rsidRDefault="003E15D1" w:rsidP="003E15D1">
            <w:pPr>
              <w:spacing w:line="276" w:lineRule="auto"/>
              <w:jc w:val="center"/>
              <w:rPr>
                <w:lang w:val="en-ID"/>
              </w:rPr>
            </w:pPr>
            <w:r w:rsidRPr="003E15D1">
              <w:rPr>
                <w:lang w:val="en-ID"/>
              </w:rPr>
              <w:t>0.56</w:t>
            </w:r>
          </w:p>
        </w:tc>
        <w:tc>
          <w:tcPr>
            <w:tcW w:w="0" w:type="auto"/>
            <w:vAlign w:val="center"/>
            <w:hideMark/>
          </w:tcPr>
          <w:p w14:paraId="3174DA13" w14:textId="77777777" w:rsidR="003E15D1" w:rsidRPr="003E15D1" w:rsidRDefault="003E15D1" w:rsidP="003E15D1">
            <w:pPr>
              <w:spacing w:line="276" w:lineRule="auto"/>
              <w:jc w:val="center"/>
              <w:rPr>
                <w:lang w:val="en-ID"/>
              </w:rPr>
            </w:pPr>
            <w:r w:rsidRPr="003E15D1">
              <w:rPr>
                <w:lang w:val="en-ID"/>
              </w:rPr>
              <w:t>0.00</w:t>
            </w:r>
          </w:p>
        </w:tc>
        <w:tc>
          <w:tcPr>
            <w:tcW w:w="0" w:type="auto"/>
            <w:vAlign w:val="center"/>
            <w:hideMark/>
          </w:tcPr>
          <w:p w14:paraId="6ADEDE98" w14:textId="77777777" w:rsidR="003E15D1" w:rsidRPr="003E15D1" w:rsidRDefault="003E15D1" w:rsidP="003E15D1">
            <w:pPr>
              <w:spacing w:line="276" w:lineRule="auto"/>
              <w:jc w:val="center"/>
              <w:rPr>
                <w:lang w:val="en-ID"/>
              </w:rPr>
            </w:pPr>
            <w:r w:rsidRPr="003E15D1">
              <w:rPr>
                <w:lang w:val="en-ID"/>
              </w:rPr>
              <w:t>0.00</w:t>
            </w:r>
          </w:p>
        </w:tc>
        <w:tc>
          <w:tcPr>
            <w:tcW w:w="0" w:type="auto"/>
            <w:vAlign w:val="center"/>
            <w:hideMark/>
          </w:tcPr>
          <w:p w14:paraId="030E694E" w14:textId="77777777" w:rsidR="003E15D1" w:rsidRPr="003E15D1" w:rsidRDefault="003E15D1" w:rsidP="003E15D1">
            <w:pPr>
              <w:spacing w:line="276" w:lineRule="auto"/>
              <w:jc w:val="center"/>
              <w:rPr>
                <w:lang w:val="en-ID"/>
              </w:rPr>
            </w:pPr>
            <w:r w:rsidRPr="003E15D1">
              <w:rPr>
                <w:lang w:val="en-ID"/>
              </w:rPr>
              <w:t>5.33</w:t>
            </w:r>
          </w:p>
        </w:tc>
        <w:tc>
          <w:tcPr>
            <w:tcW w:w="0" w:type="auto"/>
            <w:vAlign w:val="center"/>
            <w:hideMark/>
          </w:tcPr>
          <w:p w14:paraId="5AEA8105" w14:textId="77777777" w:rsidR="003E15D1" w:rsidRPr="003E15D1" w:rsidRDefault="003E15D1" w:rsidP="003E15D1">
            <w:pPr>
              <w:spacing w:line="276" w:lineRule="auto"/>
              <w:jc w:val="center"/>
              <w:rPr>
                <w:lang w:val="en-ID"/>
              </w:rPr>
            </w:pPr>
            <w:r w:rsidRPr="003E15D1">
              <w:rPr>
                <w:lang w:val="en-ID"/>
              </w:rPr>
              <w:t>61.33</w:t>
            </w:r>
          </w:p>
        </w:tc>
        <w:tc>
          <w:tcPr>
            <w:tcW w:w="0" w:type="auto"/>
            <w:vAlign w:val="center"/>
            <w:hideMark/>
          </w:tcPr>
          <w:p w14:paraId="716472AF" w14:textId="77777777" w:rsidR="003E15D1" w:rsidRPr="003E15D1" w:rsidRDefault="003E15D1" w:rsidP="003E15D1">
            <w:pPr>
              <w:spacing w:line="276" w:lineRule="auto"/>
              <w:jc w:val="center"/>
              <w:rPr>
                <w:lang w:val="en-ID"/>
              </w:rPr>
            </w:pPr>
            <w:r w:rsidRPr="003E15D1">
              <w:rPr>
                <w:lang w:val="en-ID"/>
              </w:rPr>
              <w:t>33.33</w:t>
            </w:r>
          </w:p>
        </w:tc>
      </w:tr>
      <w:tr w:rsidR="003E15D1" w:rsidRPr="003E15D1" w14:paraId="382F0298" w14:textId="77777777" w:rsidTr="00592AB3">
        <w:trPr>
          <w:tblCellSpacing w:w="15" w:type="dxa"/>
        </w:trPr>
        <w:tc>
          <w:tcPr>
            <w:tcW w:w="0" w:type="auto"/>
            <w:vAlign w:val="center"/>
            <w:hideMark/>
          </w:tcPr>
          <w:p w14:paraId="07864AE0" w14:textId="77777777" w:rsidR="003E15D1" w:rsidRPr="003E15D1" w:rsidRDefault="003E15D1" w:rsidP="003E15D1">
            <w:pPr>
              <w:spacing w:line="276" w:lineRule="auto"/>
              <w:rPr>
                <w:lang w:val="en-ID"/>
              </w:rPr>
            </w:pPr>
            <w:r w:rsidRPr="003E15D1">
              <w:rPr>
                <w:lang w:val="en-ID"/>
              </w:rPr>
              <w:t>Effectiveness of Individual Actions</w:t>
            </w:r>
          </w:p>
        </w:tc>
        <w:tc>
          <w:tcPr>
            <w:tcW w:w="0" w:type="auto"/>
            <w:vAlign w:val="center"/>
            <w:hideMark/>
          </w:tcPr>
          <w:p w14:paraId="45F32E91" w14:textId="77777777" w:rsidR="003E15D1" w:rsidRPr="003E15D1" w:rsidRDefault="003E15D1" w:rsidP="003E15D1">
            <w:pPr>
              <w:spacing w:line="276" w:lineRule="auto"/>
              <w:jc w:val="center"/>
              <w:rPr>
                <w:lang w:val="en-ID"/>
              </w:rPr>
            </w:pPr>
            <w:r w:rsidRPr="003E15D1">
              <w:rPr>
                <w:lang w:val="en-ID"/>
              </w:rPr>
              <w:t>4.17</w:t>
            </w:r>
          </w:p>
        </w:tc>
        <w:tc>
          <w:tcPr>
            <w:tcW w:w="0" w:type="auto"/>
            <w:vAlign w:val="center"/>
            <w:hideMark/>
          </w:tcPr>
          <w:p w14:paraId="1D4E5D8D" w14:textId="77777777" w:rsidR="003E15D1" w:rsidRPr="003E15D1" w:rsidRDefault="003E15D1" w:rsidP="003E15D1">
            <w:pPr>
              <w:spacing w:line="276" w:lineRule="auto"/>
              <w:jc w:val="center"/>
              <w:rPr>
                <w:lang w:val="en-ID"/>
              </w:rPr>
            </w:pPr>
            <w:r w:rsidRPr="003E15D1">
              <w:rPr>
                <w:lang w:val="en-ID"/>
              </w:rPr>
              <w:t>4</w:t>
            </w:r>
          </w:p>
        </w:tc>
        <w:tc>
          <w:tcPr>
            <w:tcW w:w="0" w:type="auto"/>
            <w:vAlign w:val="center"/>
            <w:hideMark/>
          </w:tcPr>
          <w:p w14:paraId="62679AC6" w14:textId="77777777" w:rsidR="003E15D1" w:rsidRPr="003E15D1" w:rsidRDefault="003E15D1" w:rsidP="003E15D1">
            <w:pPr>
              <w:spacing w:line="276" w:lineRule="auto"/>
              <w:jc w:val="center"/>
              <w:rPr>
                <w:lang w:val="en-ID"/>
              </w:rPr>
            </w:pPr>
            <w:r w:rsidRPr="003E15D1">
              <w:rPr>
                <w:lang w:val="en-ID"/>
              </w:rPr>
              <w:t>0.74</w:t>
            </w:r>
          </w:p>
        </w:tc>
        <w:tc>
          <w:tcPr>
            <w:tcW w:w="0" w:type="auto"/>
            <w:vAlign w:val="center"/>
            <w:hideMark/>
          </w:tcPr>
          <w:p w14:paraId="3BA992BE" w14:textId="77777777" w:rsidR="003E15D1" w:rsidRPr="003E15D1" w:rsidRDefault="003E15D1" w:rsidP="003E15D1">
            <w:pPr>
              <w:spacing w:line="276" w:lineRule="auto"/>
              <w:jc w:val="center"/>
              <w:rPr>
                <w:lang w:val="en-ID"/>
              </w:rPr>
            </w:pPr>
            <w:r w:rsidRPr="003E15D1">
              <w:rPr>
                <w:lang w:val="en-ID"/>
              </w:rPr>
              <w:t>0.00</w:t>
            </w:r>
          </w:p>
        </w:tc>
        <w:tc>
          <w:tcPr>
            <w:tcW w:w="0" w:type="auto"/>
            <w:vAlign w:val="center"/>
            <w:hideMark/>
          </w:tcPr>
          <w:p w14:paraId="736F63AE" w14:textId="77777777" w:rsidR="003E15D1" w:rsidRPr="003E15D1" w:rsidRDefault="003E15D1" w:rsidP="003E15D1">
            <w:pPr>
              <w:spacing w:line="276" w:lineRule="auto"/>
              <w:jc w:val="center"/>
              <w:rPr>
                <w:lang w:val="en-ID"/>
              </w:rPr>
            </w:pPr>
            <w:r w:rsidRPr="003E15D1">
              <w:rPr>
                <w:lang w:val="en-ID"/>
              </w:rPr>
              <w:t>2.67</w:t>
            </w:r>
          </w:p>
        </w:tc>
        <w:tc>
          <w:tcPr>
            <w:tcW w:w="0" w:type="auto"/>
            <w:vAlign w:val="center"/>
            <w:hideMark/>
          </w:tcPr>
          <w:p w14:paraId="134FF031" w14:textId="77777777" w:rsidR="003E15D1" w:rsidRPr="003E15D1" w:rsidRDefault="003E15D1" w:rsidP="003E15D1">
            <w:pPr>
              <w:spacing w:line="276" w:lineRule="auto"/>
              <w:jc w:val="center"/>
              <w:rPr>
                <w:lang w:val="en-ID"/>
              </w:rPr>
            </w:pPr>
            <w:r w:rsidRPr="003E15D1">
              <w:rPr>
                <w:lang w:val="en-ID"/>
              </w:rPr>
              <w:t>12.00</w:t>
            </w:r>
          </w:p>
        </w:tc>
        <w:tc>
          <w:tcPr>
            <w:tcW w:w="0" w:type="auto"/>
            <w:vAlign w:val="center"/>
            <w:hideMark/>
          </w:tcPr>
          <w:p w14:paraId="7CBE4384" w14:textId="77777777" w:rsidR="003E15D1" w:rsidRPr="003E15D1" w:rsidRDefault="003E15D1" w:rsidP="003E15D1">
            <w:pPr>
              <w:spacing w:line="276" w:lineRule="auto"/>
              <w:jc w:val="center"/>
              <w:rPr>
                <w:lang w:val="en-ID"/>
              </w:rPr>
            </w:pPr>
            <w:r w:rsidRPr="003E15D1">
              <w:rPr>
                <w:lang w:val="en-ID"/>
              </w:rPr>
              <w:t>50.67</w:t>
            </w:r>
          </w:p>
        </w:tc>
        <w:tc>
          <w:tcPr>
            <w:tcW w:w="0" w:type="auto"/>
            <w:vAlign w:val="center"/>
            <w:hideMark/>
          </w:tcPr>
          <w:p w14:paraId="2A31163E" w14:textId="77777777" w:rsidR="003E15D1" w:rsidRPr="003E15D1" w:rsidRDefault="003E15D1" w:rsidP="003E15D1">
            <w:pPr>
              <w:spacing w:line="276" w:lineRule="auto"/>
              <w:jc w:val="center"/>
              <w:rPr>
                <w:lang w:val="en-ID"/>
              </w:rPr>
            </w:pPr>
            <w:r w:rsidRPr="003E15D1">
              <w:rPr>
                <w:lang w:val="en-ID"/>
              </w:rPr>
              <w:t>34.67</w:t>
            </w:r>
          </w:p>
        </w:tc>
      </w:tr>
      <w:tr w:rsidR="003E15D1" w:rsidRPr="003E15D1" w14:paraId="6C6B8CB4" w14:textId="77777777" w:rsidTr="00592AB3">
        <w:trPr>
          <w:tblCellSpacing w:w="15" w:type="dxa"/>
        </w:trPr>
        <w:tc>
          <w:tcPr>
            <w:tcW w:w="0" w:type="auto"/>
            <w:vAlign w:val="center"/>
            <w:hideMark/>
          </w:tcPr>
          <w:p w14:paraId="7E83524A" w14:textId="77777777" w:rsidR="003E15D1" w:rsidRPr="003E15D1" w:rsidRDefault="003E15D1" w:rsidP="003E15D1">
            <w:pPr>
              <w:spacing w:line="276" w:lineRule="auto"/>
              <w:rPr>
                <w:lang w:val="en-ID"/>
              </w:rPr>
            </w:pPr>
            <w:r w:rsidRPr="003E15D1">
              <w:rPr>
                <w:lang w:val="en-ID"/>
              </w:rPr>
              <w:t>Environmental Priority</w:t>
            </w:r>
          </w:p>
        </w:tc>
        <w:tc>
          <w:tcPr>
            <w:tcW w:w="0" w:type="auto"/>
            <w:vAlign w:val="center"/>
            <w:hideMark/>
          </w:tcPr>
          <w:p w14:paraId="0EF8CF41" w14:textId="77777777" w:rsidR="003E15D1" w:rsidRPr="003E15D1" w:rsidRDefault="003E15D1" w:rsidP="003E15D1">
            <w:pPr>
              <w:spacing w:line="276" w:lineRule="auto"/>
              <w:jc w:val="center"/>
              <w:rPr>
                <w:lang w:val="en-ID"/>
              </w:rPr>
            </w:pPr>
            <w:r w:rsidRPr="003E15D1">
              <w:rPr>
                <w:lang w:val="en-ID"/>
              </w:rPr>
              <w:t>4.03</w:t>
            </w:r>
          </w:p>
        </w:tc>
        <w:tc>
          <w:tcPr>
            <w:tcW w:w="0" w:type="auto"/>
            <w:vAlign w:val="center"/>
            <w:hideMark/>
          </w:tcPr>
          <w:p w14:paraId="7A33B984" w14:textId="77777777" w:rsidR="003E15D1" w:rsidRPr="003E15D1" w:rsidRDefault="003E15D1" w:rsidP="003E15D1">
            <w:pPr>
              <w:spacing w:line="276" w:lineRule="auto"/>
              <w:jc w:val="center"/>
              <w:rPr>
                <w:lang w:val="en-ID"/>
              </w:rPr>
            </w:pPr>
            <w:r w:rsidRPr="003E15D1">
              <w:rPr>
                <w:lang w:val="en-ID"/>
              </w:rPr>
              <w:t>4</w:t>
            </w:r>
          </w:p>
        </w:tc>
        <w:tc>
          <w:tcPr>
            <w:tcW w:w="0" w:type="auto"/>
            <w:vAlign w:val="center"/>
            <w:hideMark/>
          </w:tcPr>
          <w:p w14:paraId="2D60F30B" w14:textId="77777777" w:rsidR="003E15D1" w:rsidRPr="003E15D1" w:rsidRDefault="003E15D1" w:rsidP="003E15D1">
            <w:pPr>
              <w:spacing w:line="276" w:lineRule="auto"/>
              <w:jc w:val="center"/>
              <w:rPr>
                <w:lang w:val="en-ID"/>
              </w:rPr>
            </w:pPr>
            <w:r w:rsidRPr="003E15D1">
              <w:rPr>
                <w:lang w:val="en-ID"/>
              </w:rPr>
              <w:t>1.01</w:t>
            </w:r>
          </w:p>
        </w:tc>
        <w:tc>
          <w:tcPr>
            <w:tcW w:w="0" w:type="auto"/>
            <w:vAlign w:val="center"/>
            <w:hideMark/>
          </w:tcPr>
          <w:p w14:paraId="7B58AAA9" w14:textId="77777777" w:rsidR="003E15D1" w:rsidRPr="003E15D1" w:rsidRDefault="003E15D1" w:rsidP="003E15D1">
            <w:pPr>
              <w:spacing w:line="276" w:lineRule="auto"/>
              <w:jc w:val="center"/>
              <w:rPr>
                <w:lang w:val="en-ID"/>
              </w:rPr>
            </w:pPr>
            <w:r w:rsidRPr="003E15D1">
              <w:rPr>
                <w:lang w:val="en-ID"/>
              </w:rPr>
              <w:t>2.67</w:t>
            </w:r>
          </w:p>
        </w:tc>
        <w:tc>
          <w:tcPr>
            <w:tcW w:w="0" w:type="auto"/>
            <w:vAlign w:val="center"/>
            <w:hideMark/>
          </w:tcPr>
          <w:p w14:paraId="1398020B" w14:textId="77777777" w:rsidR="003E15D1" w:rsidRPr="003E15D1" w:rsidRDefault="003E15D1" w:rsidP="003E15D1">
            <w:pPr>
              <w:spacing w:line="276" w:lineRule="auto"/>
              <w:jc w:val="center"/>
              <w:rPr>
                <w:lang w:val="en-ID"/>
              </w:rPr>
            </w:pPr>
            <w:r w:rsidRPr="003E15D1">
              <w:rPr>
                <w:lang w:val="en-ID"/>
              </w:rPr>
              <w:t>9.33</w:t>
            </w:r>
          </w:p>
        </w:tc>
        <w:tc>
          <w:tcPr>
            <w:tcW w:w="0" w:type="auto"/>
            <w:vAlign w:val="center"/>
            <w:hideMark/>
          </w:tcPr>
          <w:p w14:paraId="49932228" w14:textId="77777777" w:rsidR="003E15D1" w:rsidRPr="003E15D1" w:rsidRDefault="003E15D1" w:rsidP="003E15D1">
            <w:pPr>
              <w:spacing w:line="276" w:lineRule="auto"/>
              <w:jc w:val="center"/>
              <w:rPr>
                <w:lang w:val="en-ID"/>
              </w:rPr>
            </w:pPr>
            <w:r w:rsidRPr="003E15D1">
              <w:rPr>
                <w:lang w:val="en-ID"/>
              </w:rPr>
              <w:t>5.33</w:t>
            </w:r>
          </w:p>
        </w:tc>
        <w:tc>
          <w:tcPr>
            <w:tcW w:w="0" w:type="auto"/>
            <w:vAlign w:val="center"/>
            <w:hideMark/>
          </w:tcPr>
          <w:p w14:paraId="2C924148" w14:textId="77777777" w:rsidR="003E15D1" w:rsidRPr="003E15D1" w:rsidRDefault="003E15D1" w:rsidP="003E15D1">
            <w:pPr>
              <w:spacing w:line="276" w:lineRule="auto"/>
              <w:jc w:val="center"/>
              <w:rPr>
                <w:lang w:val="en-ID"/>
              </w:rPr>
            </w:pPr>
            <w:r w:rsidRPr="003E15D1">
              <w:rPr>
                <w:lang w:val="en-ID"/>
              </w:rPr>
              <w:t>48.00</w:t>
            </w:r>
          </w:p>
        </w:tc>
        <w:tc>
          <w:tcPr>
            <w:tcW w:w="0" w:type="auto"/>
            <w:vAlign w:val="center"/>
            <w:hideMark/>
          </w:tcPr>
          <w:p w14:paraId="01DF3E74" w14:textId="77777777" w:rsidR="003E15D1" w:rsidRPr="003E15D1" w:rsidRDefault="003E15D1" w:rsidP="003E15D1">
            <w:pPr>
              <w:spacing w:line="276" w:lineRule="auto"/>
              <w:jc w:val="center"/>
              <w:rPr>
                <w:lang w:val="en-ID"/>
              </w:rPr>
            </w:pPr>
            <w:r w:rsidRPr="003E15D1">
              <w:rPr>
                <w:lang w:val="en-ID"/>
              </w:rPr>
              <w:t>34.67</w:t>
            </w:r>
          </w:p>
        </w:tc>
      </w:tr>
      <w:tr w:rsidR="003E15D1" w:rsidRPr="003E15D1" w14:paraId="5ADA2946" w14:textId="77777777" w:rsidTr="00592AB3">
        <w:trPr>
          <w:tblCellSpacing w:w="15" w:type="dxa"/>
        </w:trPr>
        <w:tc>
          <w:tcPr>
            <w:tcW w:w="0" w:type="auto"/>
            <w:tcBorders>
              <w:bottom w:val="single" w:sz="4" w:space="0" w:color="auto"/>
            </w:tcBorders>
            <w:vAlign w:val="center"/>
            <w:hideMark/>
          </w:tcPr>
          <w:p w14:paraId="7501C7CE" w14:textId="77777777" w:rsidR="003E15D1" w:rsidRPr="003E15D1" w:rsidRDefault="003E15D1" w:rsidP="003E15D1">
            <w:pPr>
              <w:spacing w:line="276" w:lineRule="auto"/>
              <w:rPr>
                <w:lang w:val="en-ID"/>
              </w:rPr>
            </w:pPr>
            <w:r w:rsidRPr="003E15D1">
              <w:rPr>
                <w:lang w:val="en-ID"/>
              </w:rPr>
              <w:lastRenderedPageBreak/>
              <w:t>Human Causes of Climate Change</w:t>
            </w:r>
          </w:p>
        </w:tc>
        <w:tc>
          <w:tcPr>
            <w:tcW w:w="0" w:type="auto"/>
            <w:tcBorders>
              <w:bottom w:val="single" w:sz="4" w:space="0" w:color="auto"/>
            </w:tcBorders>
            <w:vAlign w:val="center"/>
            <w:hideMark/>
          </w:tcPr>
          <w:p w14:paraId="605B28B0" w14:textId="77777777" w:rsidR="003E15D1" w:rsidRPr="003E15D1" w:rsidRDefault="003E15D1" w:rsidP="003E15D1">
            <w:pPr>
              <w:spacing w:line="276" w:lineRule="auto"/>
              <w:jc w:val="center"/>
              <w:rPr>
                <w:lang w:val="en-ID"/>
              </w:rPr>
            </w:pPr>
            <w:r w:rsidRPr="003E15D1">
              <w:rPr>
                <w:lang w:val="en-ID"/>
              </w:rPr>
              <w:t>3.88</w:t>
            </w:r>
          </w:p>
        </w:tc>
        <w:tc>
          <w:tcPr>
            <w:tcW w:w="0" w:type="auto"/>
            <w:tcBorders>
              <w:bottom w:val="single" w:sz="4" w:space="0" w:color="auto"/>
            </w:tcBorders>
            <w:vAlign w:val="center"/>
            <w:hideMark/>
          </w:tcPr>
          <w:p w14:paraId="2434D5B6" w14:textId="77777777" w:rsidR="003E15D1" w:rsidRPr="003E15D1" w:rsidRDefault="003E15D1" w:rsidP="003E15D1">
            <w:pPr>
              <w:spacing w:line="276" w:lineRule="auto"/>
              <w:jc w:val="center"/>
              <w:rPr>
                <w:lang w:val="en-ID"/>
              </w:rPr>
            </w:pPr>
            <w:r w:rsidRPr="003E15D1">
              <w:rPr>
                <w:lang w:val="en-ID"/>
              </w:rPr>
              <w:t>4</w:t>
            </w:r>
          </w:p>
        </w:tc>
        <w:tc>
          <w:tcPr>
            <w:tcW w:w="0" w:type="auto"/>
            <w:tcBorders>
              <w:bottom w:val="single" w:sz="4" w:space="0" w:color="auto"/>
            </w:tcBorders>
            <w:vAlign w:val="center"/>
            <w:hideMark/>
          </w:tcPr>
          <w:p w14:paraId="19F75E91" w14:textId="77777777" w:rsidR="003E15D1" w:rsidRPr="003E15D1" w:rsidRDefault="003E15D1" w:rsidP="003E15D1">
            <w:pPr>
              <w:spacing w:line="276" w:lineRule="auto"/>
              <w:jc w:val="center"/>
              <w:rPr>
                <w:lang w:val="en-ID"/>
              </w:rPr>
            </w:pPr>
            <w:r w:rsidRPr="003E15D1">
              <w:rPr>
                <w:lang w:val="en-ID"/>
              </w:rPr>
              <w:t>1.04</w:t>
            </w:r>
          </w:p>
        </w:tc>
        <w:tc>
          <w:tcPr>
            <w:tcW w:w="0" w:type="auto"/>
            <w:tcBorders>
              <w:bottom w:val="single" w:sz="4" w:space="0" w:color="auto"/>
            </w:tcBorders>
            <w:vAlign w:val="center"/>
            <w:hideMark/>
          </w:tcPr>
          <w:p w14:paraId="41F3A409" w14:textId="77777777" w:rsidR="003E15D1" w:rsidRPr="003E15D1" w:rsidRDefault="003E15D1" w:rsidP="003E15D1">
            <w:pPr>
              <w:spacing w:line="276" w:lineRule="auto"/>
              <w:jc w:val="center"/>
              <w:rPr>
                <w:lang w:val="en-ID"/>
              </w:rPr>
            </w:pPr>
            <w:r w:rsidRPr="003E15D1">
              <w:rPr>
                <w:lang w:val="en-ID"/>
              </w:rPr>
              <w:t>1.33</w:t>
            </w:r>
          </w:p>
        </w:tc>
        <w:tc>
          <w:tcPr>
            <w:tcW w:w="0" w:type="auto"/>
            <w:tcBorders>
              <w:bottom w:val="single" w:sz="4" w:space="0" w:color="auto"/>
            </w:tcBorders>
            <w:vAlign w:val="center"/>
            <w:hideMark/>
          </w:tcPr>
          <w:p w14:paraId="3AE8D26C" w14:textId="77777777" w:rsidR="003E15D1" w:rsidRPr="003E15D1" w:rsidRDefault="003E15D1" w:rsidP="003E15D1">
            <w:pPr>
              <w:spacing w:line="276" w:lineRule="auto"/>
              <w:jc w:val="center"/>
              <w:rPr>
                <w:lang w:val="en-ID"/>
              </w:rPr>
            </w:pPr>
            <w:r w:rsidRPr="003E15D1">
              <w:rPr>
                <w:lang w:val="en-ID"/>
              </w:rPr>
              <w:t>10.67</w:t>
            </w:r>
          </w:p>
        </w:tc>
        <w:tc>
          <w:tcPr>
            <w:tcW w:w="0" w:type="auto"/>
            <w:tcBorders>
              <w:bottom w:val="single" w:sz="4" w:space="0" w:color="auto"/>
            </w:tcBorders>
            <w:vAlign w:val="center"/>
            <w:hideMark/>
          </w:tcPr>
          <w:p w14:paraId="10DD5B52" w14:textId="77777777" w:rsidR="003E15D1" w:rsidRPr="003E15D1" w:rsidRDefault="003E15D1" w:rsidP="003E15D1">
            <w:pPr>
              <w:spacing w:line="276" w:lineRule="auto"/>
              <w:jc w:val="center"/>
              <w:rPr>
                <w:lang w:val="en-ID"/>
              </w:rPr>
            </w:pPr>
            <w:r w:rsidRPr="003E15D1">
              <w:rPr>
                <w:lang w:val="en-ID"/>
              </w:rPr>
              <w:t>20.00</w:t>
            </w:r>
          </w:p>
        </w:tc>
        <w:tc>
          <w:tcPr>
            <w:tcW w:w="0" w:type="auto"/>
            <w:tcBorders>
              <w:bottom w:val="single" w:sz="4" w:space="0" w:color="auto"/>
            </w:tcBorders>
            <w:vAlign w:val="center"/>
            <w:hideMark/>
          </w:tcPr>
          <w:p w14:paraId="1705035A" w14:textId="77777777" w:rsidR="003E15D1" w:rsidRPr="003E15D1" w:rsidRDefault="003E15D1" w:rsidP="003E15D1">
            <w:pPr>
              <w:spacing w:line="276" w:lineRule="auto"/>
              <w:jc w:val="center"/>
              <w:rPr>
                <w:lang w:val="en-ID"/>
              </w:rPr>
            </w:pPr>
            <w:r w:rsidRPr="003E15D1">
              <w:rPr>
                <w:lang w:val="en-ID"/>
              </w:rPr>
              <w:t>34.67</w:t>
            </w:r>
          </w:p>
        </w:tc>
        <w:tc>
          <w:tcPr>
            <w:tcW w:w="0" w:type="auto"/>
            <w:tcBorders>
              <w:bottom w:val="single" w:sz="4" w:space="0" w:color="auto"/>
            </w:tcBorders>
            <w:vAlign w:val="center"/>
            <w:hideMark/>
          </w:tcPr>
          <w:p w14:paraId="365E4DC4" w14:textId="77777777" w:rsidR="003E15D1" w:rsidRPr="003E15D1" w:rsidRDefault="003E15D1" w:rsidP="003E15D1">
            <w:pPr>
              <w:spacing w:line="276" w:lineRule="auto"/>
              <w:jc w:val="center"/>
              <w:rPr>
                <w:lang w:val="en-ID"/>
              </w:rPr>
            </w:pPr>
            <w:r w:rsidRPr="003E15D1">
              <w:rPr>
                <w:lang w:val="en-ID"/>
              </w:rPr>
              <w:t>33.33</w:t>
            </w:r>
          </w:p>
        </w:tc>
      </w:tr>
    </w:tbl>
    <w:p w14:paraId="7E6E50CC" w14:textId="77777777" w:rsidR="003E15D1" w:rsidRPr="003E15D1" w:rsidRDefault="003E15D1" w:rsidP="003E15D1">
      <w:pPr>
        <w:spacing w:line="276" w:lineRule="auto"/>
        <w:jc w:val="both"/>
        <w:rPr>
          <w:lang w:val="en-ID"/>
        </w:rPr>
      </w:pPr>
      <w:r w:rsidRPr="003E15D1">
        <w:rPr>
          <w:i/>
          <w:iCs/>
          <w:lang w:val="en-ID"/>
        </w:rPr>
        <w:t>Note: 5% (SS/SK) represents the percentage of respondents selecting “Strongly Agree / Strongly Concerned,” while 1% (STS/STK) represents “Strongly Disagree / Not Concerned.”</w:t>
      </w:r>
    </w:p>
    <w:p w14:paraId="691E914D" w14:textId="77777777" w:rsidR="003E15D1" w:rsidRPr="003E15D1" w:rsidRDefault="003E15D1" w:rsidP="003E15D1">
      <w:pPr>
        <w:spacing w:line="276" w:lineRule="auto"/>
        <w:jc w:val="both"/>
        <w:rPr>
          <w:lang w:val="en-ID"/>
        </w:rPr>
      </w:pPr>
    </w:p>
    <w:p w14:paraId="546FC385" w14:textId="77777777" w:rsidR="00315F6E" w:rsidRPr="006424CF" w:rsidRDefault="00315F6E" w:rsidP="009C0687">
      <w:pPr>
        <w:spacing w:line="276" w:lineRule="auto"/>
        <w:jc w:val="both"/>
        <w:rPr>
          <w:lang w:val="en-ID"/>
        </w:rPr>
      </w:pPr>
    </w:p>
    <w:p w14:paraId="72AD8BB5" w14:textId="77777777" w:rsidR="009C0687" w:rsidRPr="006424CF" w:rsidRDefault="009C0687" w:rsidP="009C0687">
      <w:pPr>
        <w:spacing w:line="276" w:lineRule="auto"/>
        <w:jc w:val="both"/>
      </w:pPr>
    </w:p>
    <w:p w14:paraId="06D59F42" w14:textId="58E6E271" w:rsidR="009C0687" w:rsidRPr="006424CF" w:rsidRDefault="009C0687" w:rsidP="009C0687">
      <w:pPr>
        <w:spacing w:line="276" w:lineRule="auto"/>
        <w:jc w:val="both"/>
        <w:rPr>
          <w:b/>
          <w:bCs/>
        </w:rPr>
      </w:pPr>
      <w:r w:rsidRPr="006424CF">
        <w:rPr>
          <w:b/>
          <w:bCs/>
        </w:rPr>
        <w:t>Conclusion</w:t>
      </w:r>
    </w:p>
    <w:p w14:paraId="2C89EB49" w14:textId="77777777" w:rsidR="00201B0E" w:rsidRPr="006424CF" w:rsidRDefault="00201B0E" w:rsidP="009C0687">
      <w:pPr>
        <w:spacing w:line="276" w:lineRule="auto"/>
        <w:jc w:val="both"/>
        <w:rPr>
          <w:b/>
          <w:bCs/>
        </w:rPr>
      </w:pPr>
    </w:p>
    <w:p w14:paraId="252F28AF" w14:textId="07A7049A" w:rsidR="00FA2DED" w:rsidRPr="00FA2DED" w:rsidRDefault="00FA2DED" w:rsidP="00FA2DED">
      <w:pPr>
        <w:spacing w:line="276" w:lineRule="auto"/>
        <w:jc w:val="both"/>
        <w:rPr>
          <w:lang w:val="en-ID"/>
        </w:rPr>
      </w:pPr>
      <w:r w:rsidRPr="00FA2DED">
        <w:rPr>
          <w:lang w:val="en-ID"/>
        </w:rPr>
        <w:t>The results of this study indicate that students demonstrate a high level of concern and positive attitudes toward climate change, particularly regarding its seriousness and observable impacts. High mean scores for concern about extreme weather and awareness of climate change seriousness suggest that climate change is widely recognized by students as a real and urgent issue. This finding is consistent with previous studies showing that younger and educated populations tend to exhibit higher levels of climate awareness and concern.</w:t>
      </w:r>
    </w:p>
    <w:p w14:paraId="2D683AF9" w14:textId="77777777" w:rsidR="00FA2DED" w:rsidRPr="00FA2DED" w:rsidRDefault="00FA2DED" w:rsidP="00FA2DED">
      <w:pPr>
        <w:spacing w:line="276" w:lineRule="auto"/>
        <w:jc w:val="both"/>
        <w:rPr>
          <w:lang w:val="en-ID"/>
        </w:rPr>
      </w:pPr>
    </w:p>
    <w:p w14:paraId="1D38884F" w14:textId="3C947842" w:rsidR="00FA2DED" w:rsidRPr="00FA2DED" w:rsidRDefault="00FA2DED" w:rsidP="00FA2DED">
      <w:pPr>
        <w:spacing w:line="276" w:lineRule="auto"/>
        <w:jc w:val="both"/>
        <w:rPr>
          <w:lang w:val="en-ID"/>
        </w:rPr>
      </w:pPr>
      <w:r w:rsidRPr="00FA2DED">
        <w:rPr>
          <w:lang w:val="en-ID"/>
        </w:rPr>
        <w:t>Strong agreement on items related to negative impacts, interest in learning, and discomfort when climate issues are ignored reflects not only cognitive awareness but also emotional engagement. These results suggest that students do not perceive climate change as a distant or abstract phenomenon, but as an issue that deserves attention and discussion. This aligns with existing literature emphasizing the role of emotional responses in shaping environmental attitudes.</w:t>
      </w:r>
    </w:p>
    <w:p w14:paraId="26D655D1" w14:textId="77777777" w:rsidR="00FA2DED" w:rsidRPr="00FA2DED" w:rsidRDefault="00FA2DED" w:rsidP="00FA2DED">
      <w:pPr>
        <w:spacing w:line="276" w:lineRule="auto"/>
        <w:jc w:val="both"/>
        <w:rPr>
          <w:lang w:val="en-ID"/>
        </w:rPr>
      </w:pPr>
    </w:p>
    <w:p w14:paraId="1CD20429" w14:textId="7937D093" w:rsidR="00FA2DED" w:rsidRPr="00FA2DED" w:rsidRDefault="00FA2DED" w:rsidP="00FA2DED">
      <w:pPr>
        <w:spacing w:line="276" w:lineRule="auto"/>
        <w:jc w:val="both"/>
        <w:rPr>
          <w:lang w:val="en-ID"/>
        </w:rPr>
      </w:pPr>
      <w:r w:rsidRPr="00FA2DED">
        <w:rPr>
          <w:lang w:val="en-ID"/>
        </w:rPr>
        <w:t>Support for mitigation efforts is also evident in the high mean score for the importance of carbon reduction. Students’ concern for future generations further indicates an awareness of the long-term consequences of climate change. However, the slightly higher variability in this item suggests differences in how strongly students internalize intergenerational responsibility.</w:t>
      </w:r>
    </w:p>
    <w:p w14:paraId="6D49A038" w14:textId="77777777" w:rsidR="00FA2DED" w:rsidRPr="00FA2DED" w:rsidRDefault="00FA2DED" w:rsidP="00FA2DED">
      <w:pPr>
        <w:spacing w:line="276" w:lineRule="auto"/>
        <w:jc w:val="both"/>
        <w:rPr>
          <w:lang w:val="en-ID"/>
        </w:rPr>
      </w:pPr>
    </w:p>
    <w:p w14:paraId="3FF65AFB" w14:textId="1DEF1CFD" w:rsidR="00FA2DED" w:rsidRPr="00FA2DED" w:rsidRDefault="00FA2DED" w:rsidP="00FA2DED">
      <w:pPr>
        <w:spacing w:line="276" w:lineRule="auto"/>
        <w:jc w:val="both"/>
        <w:rPr>
          <w:lang w:val="en-ID"/>
        </w:rPr>
      </w:pPr>
      <w:r w:rsidRPr="00FA2DED">
        <w:rPr>
          <w:lang w:val="en-ID"/>
        </w:rPr>
        <w:t>Students show positive perceptions of the role of universities in addressing climate change, indicating expectations for higher education institutions to contribute through education, policy, and action. This finding supports the view that universities are seen not only as centres of knowledge but also as key actors in promoting sustainability.</w:t>
      </w:r>
    </w:p>
    <w:p w14:paraId="61DBA029" w14:textId="77777777" w:rsidR="00FA2DED" w:rsidRPr="00FA2DED" w:rsidRDefault="00FA2DED" w:rsidP="00FA2DED">
      <w:pPr>
        <w:spacing w:line="276" w:lineRule="auto"/>
        <w:jc w:val="both"/>
        <w:rPr>
          <w:lang w:val="en-ID"/>
        </w:rPr>
      </w:pPr>
    </w:p>
    <w:p w14:paraId="690D30F6" w14:textId="24E576B6" w:rsidR="00FA2DED" w:rsidRPr="00FA2DED" w:rsidRDefault="00FA2DED" w:rsidP="00FA2DED">
      <w:pPr>
        <w:spacing w:line="276" w:lineRule="auto"/>
        <w:jc w:val="both"/>
        <w:rPr>
          <w:lang w:val="en-ID"/>
        </w:rPr>
      </w:pPr>
      <w:r w:rsidRPr="00FA2DED">
        <w:rPr>
          <w:lang w:val="en-ID"/>
        </w:rPr>
        <w:t>In contrast, items related to personal responsibility and the effectiveness of individual actions show lower intensity of agreement. While students generally accept individual responsibility, their confidence in the impact of personal actions appears more moderate. This pattern reflects findings from previous studies that highlight a gap between concern and perceived efficacy at the individual level.</w:t>
      </w:r>
    </w:p>
    <w:p w14:paraId="1207F9FD" w14:textId="77777777" w:rsidR="00FA2DED" w:rsidRPr="00FA2DED" w:rsidRDefault="00FA2DED" w:rsidP="00FA2DED">
      <w:pPr>
        <w:spacing w:line="276" w:lineRule="auto"/>
        <w:jc w:val="both"/>
        <w:rPr>
          <w:lang w:val="en-ID"/>
        </w:rPr>
      </w:pPr>
    </w:p>
    <w:p w14:paraId="3A1C4F25" w14:textId="570E1887" w:rsidR="00FA2DED" w:rsidRPr="00FA2DED" w:rsidRDefault="00FA2DED" w:rsidP="00FA2DED">
      <w:pPr>
        <w:spacing w:line="276" w:lineRule="auto"/>
        <w:jc w:val="both"/>
        <w:rPr>
          <w:lang w:val="en-ID"/>
        </w:rPr>
      </w:pPr>
      <w:r w:rsidRPr="00FA2DED">
        <w:rPr>
          <w:lang w:val="en-ID"/>
        </w:rPr>
        <w:t xml:space="preserve">The lowest mean score and highest variability are observed for understanding human causes of climate change. This suggests that although students recognize climate change impacts, their understanding or acceptance of anthropogenic causes is less consistent. Similarly, variation in </w:t>
      </w:r>
      <w:r w:rsidRPr="00FA2DED">
        <w:rPr>
          <w:lang w:val="en-ID"/>
        </w:rPr>
        <w:lastRenderedPageBreak/>
        <w:t>responses regarding environmental priority indicates differing views on balancing environmental protection with other societal considerations.</w:t>
      </w:r>
    </w:p>
    <w:p w14:paraId="52CFE708" w14:textId="77777777" w:rsidR="00FA2DED" w:rsidRPr="00FA2DED" w:rsidRDefault="00FA2DED" w:rsidP="00FA2DED">
      <w:pPr>
        <w:spacing w:line="276" w:lineRule="auto"/>
        <w:jc w:val="both"/>
        <w:rPr>
          <w:lang w:val="en-ID"/>
        </w:rPr>
      </w:pPr>
    </w:p>
    <w:p w14:paraId="6B1508FE" w14:textId="77777777" w:rsidR="00FA2DED" w:rsidRPr="00FA2DED" w:rsidRDefault="00FA2DED" w:rsidP="00FA2DED">
      <w:pPr>
        <w:spacing w:line="276" w:lineRule="auto"/>
        <w:jc w:val="both"/>
        <w:rPr>
          <w:lang w:val="en-ID"/>
        </w:rPr>
      </w:pPr>
      <w:r w:rsidRPr="00FA2DED">
        <w:rPr>
          <w:lang w:val="en-ID"/>
        </w:rPr>
        <w:t>Overall, the findings suggest that students possess strong concern and awareness about climate change, but variations remain in understanding its causes and in confidence regarding individual and policy-level responses. These results highlight the importance of strengthening climate education, particularly in explaining anthropogenic causes and linking individual actions to broader climate outcomes.</w:t>
      </w:r>
    </w:p>
    <w:p w14:paraId="305F6C58" w14:textId="77777777" w:rsidR="009C0687" w:rsidRPr="00FA2DED" w:rsidRDefault="009C0687" w:rsidP="009C0687">
      <w:pPr>
        <w:spacing w:line="276" w:lineRule="auto"/>
        <w:jc w:val="both"/>
      </w:pPr>
    </w:p>
    <w:p w14:paraId="57CC4A87" w14:textId="6BF04537" w:rsidR="009C0687" w:rsidRPr="006424CF" w:rsidRDefault="009C0687" w:rsidP="009C0687">
      <w:pPr>
        <w:spacing w:line="276" w:lineRule="auto"/>
        <w:jc w:val="both"/>
        <w:rPr>
          <w:b/>
          <w:bCs/>
        </w:rPr>
      </w:pPr>
      <w:r w:rsidRPr="006424CF">
        <w:rPr>
          <w:b/>
          <w:bCs/>
        </w:rPr>
        <w:t xml:space="preserve">References </w:t>
      </w:r>
    </w:p>
    <w:p w14:paraId="479BFBFF" w14:textId="2C2870FB" w:rsidR="004F4A94" w:rsidRDefault="004F4A94" w:rsidP="009C0687">
      <w:pPr>
        <w:spacing w:line="276" w:lineRule="auto"/>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4F4A94" w:rsidRPr="004F4A94" w14:paraId="1E894F1C" w14:textId="77777777" w:rsidTr="00A83529">
        <w:trPr>
          <w:trHeight w:val="630"/>
        </w:trPr>
        <w:tc>
          <w:tcPr>
            <w:tcW w:w="9071" w:type="dxa"/>
            <w:noWrap/>
            <w:hideMark/>
          </w:tcPr>
          <w:bookmarkEnd w:id="3"/>
          <w:p w14:paraId="2AF2D521" w14:textId="15C1D9DE" w:rsidR="004F4A94" w:rsidRDefault="004F4A94" w:rsidP="004F4A94">
            <w:pPr>
              <w:ind w:left="888" w:hanging="888"/>
              <w:jc w:val="both"/>
            </w:pPr>
            <w:r w:rsidRPr="004F4A94">
              <w:t>Agboola, O. S., &amp; Emmanuel, M. (2016). Awareness of Climate Change and Sustainable Development among Undergraduates from Two Selected Universities in Oyo State, Nigeria. World Journal of Education, 6(3), 70-81.</w:t>
            </w:r>
          </w:p>
          <w:p w14:paraId="48CFE45A" w14:textId="77777777" w:rsidR="00A83529" w:rsidRDefault="00A83529" w:rsidP="004F4A94">
            <w:pPr>
              <w:ind w:left="888" w:hanging="888"/>
              <w:jc w:val="both"/>
            </w:pPr>
          </w:p>
          <w:p w14:paraId="3291CD9A" w14:textId="3E53ABCE" w:rsidR="004F4A94" w:rsidRPr="004F4A94" w:rsidRDefault="004F4A94" w:rsidP="004F4A94">
            <w:pPr>
              <w:ind w:left="888" w:hanging="888"/>
              <w:jc w:val="both"/>
              <w:rPr>
                <w:lang w:val="en-ID"/>
              </w:rPr>
            </w:pPr>
          </w:p>
        </w:tc>
      </w:tr>
      <w:tr w:rsidR="004F4A94" w:rsidRPr="004F4A94" w14:paraId="3DF23F31" w14:textId="77777777" w:rsidTr="00A83529">
        <w:trPr>
          <w:trHeight w:val="630"/>
        </w:trPr>
        <w:tc>
          <w:tcPr>
            <w:tcW w:w="9071" w:type="dxa"/>
            <w:noWrap/>
            <w:hideMark/>
          </w:tcPr>
          <w:p w14:paraId="4362F04F" w14:textId="77777777" w:rsidR="004F4A94" w:rsidRDefault="004F4A94" w:rsidP="004F4A94">
            <w:pPr>
              <w:ind w:left="888" w:hanging="888"/>
              <w:jc w:val="both"/>
            </w:pPr>
            <w:r w:rsidRPr="004F4A94">
              <w:t>Akrofi, M. M., Antwi, S. H., &amp; Gumbo, J. R. (2019). Students in climate action: A study of some influential factors and implications of knowledge gaps in Africa. Environments, 6(2), 12.</w:t>
            </w:r>
          </w:p>
          <w:p w14:paraId="58A14573" w14:textId="0937F948" w:rsidR="009B519F" w:rsidRPr="004F4A94" w:rsidRDefault="009B519F" w:rsidP="004F4A94">
            <w:pPr>
              <w:ind w:left="888" w:hanging="888"/>
              <w:jc w:val="both"/>
            </w:pPr>
          </w:p>
        </w:tc>
      </w:tr>
      <w:tr w:rsidR="004F4A94" w:rsidRPr="004F4A94" w14:paraId="116358B9" w14:textId="77777777" w:rsidTr="00A83529">
        <w:trPr>
          <w:trHeight w:val="630"/>
        </w:trPr>
        <w:tc>
          <w:tcPr>
            <w:tcW w:w="9071" w:type="dxa"/>
            <w:noWrap/>
            <w:hideMark/>
          </w:tcPr>
          <w:p w14:paraId="30142F32" w14:textId="42FCDF5C" w:rsidR="004F4A94" w:rsidRPr="004F4A94" w:rsidRDefault="004F4A94" w:rsidP="00752676">
            <w:pPr>
              <w:ind w:left="888" w:hanging="888"/>
              <w:jc w:val="both"/>
            </w:pPr>
            <w:r w:rsidRPr="004F4A94">
              <w:t>Anyanwu, R., Le Grange, L., &amp; Beets, P. (2015). Climate change science: The literacy of geography teachers in the Western Cape Province, South Africa. South African Journal of Education, 35(3), 1-9.</w:t>
            </w:r>
          </w:p>
        </w:tc>
      </w:tr>
      <w:tr w:rsidR="004F4A94" w:rsidRPr="004F4A94" w14:paraId="22856057" w14:textId="77777777" w:rsidTr="00A83529">
        <w:trPr>
          <w:trHeight w:val="630"/>
        </w:trPr>
        <w:tc>
          <w:tcPr>
            <w:tcW w:w="9071" w:type="dxa"/>
            <w:noWrap/>
            <w:hideMark/>
          </w:tcPr>
          <w:p w14:paraId="3E6C0AE0" w14:textId="77777777" w:rsidR="00A83529" w:rsidRDefault="00A83529" w:rsidP="004F4A94">
            <w:pPr>
              <w:ind w:left="888" w:hanging="888"/>
              <w:jc w:val="both"/>
            </w:pPr>
          </w:p>
          <w:p w14:paraId="2B4F7698" w14:textId="6A6DEA9D" w:rsidR="004F4A94" w:rsidRPr="004F4A94" w:rsidRDefault="004F4A94" w:rsidP="004F4A94">
            <w:pPr>
              <w:ind w:left="888" w:hanging="888"/>
              <w:jc w:val="both"/>
            </w:pPr>
          </w:p>
        </w:tc>
      </w:tr>
      <w:tr w:rsidR="004F4A94" w:rsidRPr="004F4A94" w14:paraId="79DECB7A" w14:textId="77777777" w:rsidTr="00A83529">
        <w:trPr>
          <w:trHeight w:val="315"/>
        </w:trPr>
        <w:tc>
          <w:tcPr>
            <w:tcW w:w="9071" w:type="dxa"/>
            <w:noWrap/>
            <w:hideMark/>
          </w:tcPr>
          <w:p w14:paraId="1CC194DE" w14:textId="0023FF70" w:rsidR="00A83529" w:rsidRDefault="004F4A94" w:rsidP="004F4A94">
            <w:pPr>
              <w:ind w:left="888" w:hanging="888"/>
              <w:jc w:val="both"/>
            </w:pPr>
            <w:r w:rsidRPr="004F4A94">
              <w:t>Apollo, A., &amp; Mbah, M. F. (2021). Challenges and opportunities for climate change education (CCE) in East Africa: A critical review. Climate, 9(6), 93.</w:t>
            </w:r>
          </w:p>
          <w:p w14:paraId="71CDA924" w14:textId="2F8AB9CC" w:rsidR="004F4A94" w:rsidRPr="004F4A94" w:rsidRDefault="004F4A94" w:rsidP="004F4A94">
            <w:pPr>
              <w:ind w:left="888" w:hanging="888"/>
              <w:jc w:val="both"/>
            </w:pPr>
          </w:p>
        </w:tc>
      </w:tr>
      <w:tr w:rsidR="004F4A94" w:rsidRPr="004F4A94" w14:paraId="393A059A" w14:textId="77777777" w:rsidTr="00A83529">
        <w:trPr>
          <w:trHeight w:val="315"/>
        </w:trPr>
        <w:tc>
          <w:tcPr>
            <w:tcW w:w="9071" w:type="dxa"/>
            <w:noWrap/>
            <w:hideMark/>
          </w:tcPr>
          <w:p w14:paraId="7330FBD5" w14:textId="3217136A" w:rsidR="004F4A94" w:rsidRPr="004F4A94" w:rsidRDefault="004F4A94" w:rsidP="004F4A94">
            <w:pPr>
              <w:ind w:left="888" w:hanging="888"/>
              <w:jc w:val="both"/>
            </w:pPr>
          </w:p>
        </w:tc>
      </w:tr>
      <w:tr w:rsidR="004F4A94" w:rsidRPr="004F4A94" w14:paraId="4B3D7B59" w14:textId="77777777" w:rsidTr="00A83529">
        <w:trPr>
          <w:trHeight w:val="630"/>
        </w:trPr>
        <w:tc>
          <w:tcPr>
            <w:tcW w:w="9071" w:type="dxa"/>
            <w:noWrap/>
            <w:hideMark/>
          </w:tcPr>
          <w:p w14:paraId="01F5BC17" w14:textId="49270399" w:rsidR="004F4A94" w:rsidRPr="004F4A94" w:rsidRDefault="004F4A94" w:rsidP="00A83529">
            <w:pPr>
              <w:ind w:left="888" w:hanging="888"/>
              <w:jc w:val="both"/>
            </w:pPr>
            <w:r w:rsidRPr="004F4A94">
              <w:t>Ayanlade, A., &amp; Jegede, M. O. (2016). Climate change education and knowledge among Nigerian university graduates. Weather, Climate, and Society, 8(4), 465-473.</w:t>
            </w:r>
          </w:p>
        </w:tc>
      </w:tr>
      <w:tr w:rsidR="004F4A94" w:rsidRPr="004F4A94" w14:paraId="6BA6C4E3" w14:textId="77777777" w:rsidTr="00A83529">
        <w:trPr>
          <w:trHeight w:val="315"/>
        </w:trPr>
        <w:tc>
          <w:tcPr>
            <w:tcW w:w="9071" w:type="dxa"/>
            <w:noWrap/>
            <w:hideMark/>
          </w:tcPr>
          <w:p w14:paraId="408186C7" w14:textId="77777777" w:rsidR="00A83529" w:rsidRDefault="00A83529" w:rsidP="004F4A94">
            <w:pPr>
              <w:ind w:left="888" w:hanging="888"/>
              <w:jc w:val="both"/>
            </w:pPr>
          </w:p>
          <w:p w14:paraId="4D39A545" w14:textId="78C1DE7E" w:rsidR="00A83529" w:rsidRDefault="004F4A94" w:rsidP="004F4A94">
            <w:pPr>
              <w:ind w:left="888" w:hanging="888"/>
              <w:jc w:val="both"/>
            </w:pPr>
            <w:r w:rsidRPr="004F4A94">
              <w:t>Boakye, C. (2015). Climate change education: The role of pre-tertiary science curricula in Ghana. Sage Open, 5(4), 2158244015614611.</w:t>
            </w:r>
          </w:p>
          <w:p w14:paraId="442C1ECF" w14:textId="7CB0F343" w:rsidR="004F4A94" w:rsidRPr="004F4A94" w:rsidRDefault="004F4A94" w:rsidP="004F4A94">
            <w:pPr>
              <w:ind w:left="888" w:hanging="888"/>
              <w:jc w:val="both"/>
            </w:pPr>
          </w:p>
        </w:tc>
      </w:tr>
      <w:tr w:rsidR="004F4A94" w:rsidRPr="004F4A94" w14:paraId="5326CFF1" w14:textId="77777777" w:rsidTr="00A83529">
        <w:trPr>
          <w:trHeight w:val="315"/>
        </w:trPr>
        <w:tc>
          <w:tcPr>
            <w:tcW w:w="9071" w:type="dxa"/>
            <w:noWrap/>
            <w:hideMark/>
          </w:tcPr>
          <w:p w14:paraId="77DC228F" w14:textId="3346EAC8" w:rsidR="004F4A94" w:rsidRPr="004F4A94" w:rsidRDefault="004F4A94" w:rsidP="004F4A94">
            <w:pPr>
              <w:ind w:left="888" w:hanging="888"/>
              <w:jc w:val="both"/>
            </w:pPr>
          </w:p>
        </w:tc>
      </w:tr>
      <w:tr w:rsidR="004F4A94" w:rsidRPr="004F4A94" w14:paraId="25C362FF" w14:textId="77777777" w:rsidTr="00A83529">
        <w:trPr>
          <w:trHeight w:val="630"/>
        </w:trPr>
        <w:tc>
          <w:tcPr>
            <w:tcW w:w="9071" w:type="dxa"/>
            <w:noWrap/>
            <w:hideMark/>
          </w:tcPr>
          <w:p w14:paraId="13044478" w14:textId="77777777" w:rsidR="004F4A94" w:rsidRPr="004F4A94" w:rsidRDefault="004F4A94" w:rsidP="004F4A94">
            <w:pPr>
              <w:ind w:left="888" w:hanging="888"/>
              <w:jc w:val="both"/>
            </w:pPr>
            <w:r w:rsidRPr="004F4A94">
              <w:t>García Vinuesa, A., Rui Mucova, S. A., Azeiteiro, U. M., Meira Cartea, P. Á., &amp; Pereira, M. (2022). Mozambican students’ knowledge and perceptions about climate change: an exploratory study in Pemba City. International Research in Geographical and Environmental Education, 31(1), 5-21.</w:t>
            </w:r>
          </w:p>
        </w:tc>
      </w:tr>
    </w:tbl>
    <w:p w14:paraId="40E19A63" w14:textId="77777777" w:rsidR="009C0687" w:rsidRPr="006424CF" w:rsidRDefault="009C0687" w:rsidP="009C0687">
      <w:pPr>
        <w:jc w:val="both"/>
        <w:rPr>
          <w:b/>
          <w:bCs/>
          <w:lang w:val="en-US"/>
        </w:rPr>
        <w:sectPr w:rsidR="009C0687" w:rsidRPr="006424CF" w:rsidSect="00CB49D5">
          <w:headerReference w:type="even" r:id="rId8"/>
          <w:headerReference w:type="default" r:id="rId9"/>
          <w:pgSz w:w="11906" w:h="16838" w:code="9"/>
          <w:pgMar w:top="1276" w:right="1134" w:bottom="1134" w:left="1701" w:header="709" w:footer="567" w:gutter="0"/>
          <w:pgNumType w:start="158"/>
          <w:cols w:space="708"/>
          <w:docGrid w:linePitch="360"/>
        </w:sectPr>
      </w:pPr>
    </w:p>
    <w:p w14:paraId="29EC960B" w14:textId="77777777" w:rsidR="009C0687" w:rsidRPr="006424CF" w:rsidRDefault="009C0687" w:rsidP="009C0687">
      <w:pPr>
        <w:jc w:val="both"/>
        <w:rPr>
          <w:lang w:val="en-US"/>
        </w:rPr>
      </w:pPr>
    </w:p>
    <w:p w14:paraId="7444E1CF" w14:textId="77777777" w:rsidR="009C0687" w:rsidRPr="006424CF" w:rsidRDefault="009C0687" w:rsidP="009C0687">
      <w:pPr>
        <w:rPr>
          <w:sz w:val="20"/>
          <w:szCs w:val="20"/>
        </w:rPr>
      </w:pPr>
    </w:p>
    <w:p w14:paraId="1197BCC9" w14:textId="77777777" w:rsidR="009C0687" w:rsidRPr="006424CF" w:rsidRDefault="009C0687" w:rsidP="009C0687">
      <w:pPr>
        <w:rPr>
          <w:sz w:val="20"/>
          <w:szCs w:val="20"/>
        </w:rPr>
      </w:pPr>
    </w:p>
    <w:p w14:paraId="053224CB" w14:textId="77777777" w:rsidR="009C0687" w:rsidRPr="006424CF" w:rsidRDefault="009C0687" w:rsidP="009C0687">
      <w:pPr>
        <w:rPr>
          <w:sz w:val="20"/>
          <w:szCs w:val="20"/>
        </w:rPr>
      </w:pPr>
    </w:p>
    <w:p w14:paraId="6FBA34F1" w14:textId="77777777" w:rsidR="009C0687" w:rsidRPr="006424CF" w:rsidRDefault="009C0687" w:rsidP="009C0687">
      <w:pPr>
        <w:ind w:left="426"/>
        <w:rPr>
          <w:sz w:val="20"/>
          <w:szCs w:val="20"/>
        </w:rPr>
      </w:pPr>
    </w:p>
    <w:p w14:paraId="558E0067" w14:textId="77777777" w:rsidR="009C0687" w:rsidRPr="006424CF" w:rsidRDefault="009C0687" w:rsidP="009C0687">
      <w:pPr>
        <w:ind w:left="426"/>
        <w:rPr>
          <w:sz w:val="20"/>
          <w:szCs w:val="20"/>
        </w:rPr>
      </w:pPr>
    </w:p>
    <w:p w14:paraId="43B25D30" w14:textId="77777777" w:rsidR="009C0687" w:rsidRPr="006424CF" w:rsidRDefault="009C0687" w:rsidP="009C0687">
      <w:pPr>
        <w:ind w:left="426"/>
        <w:rPr>
          <w:sz w:val="20"/>
          <w:szCs w:val="20"/>
        </w:rPr>
      </w:pPr>
    </w:p>
    <w:p w14:paraId="2CADD840" w14:textId="77777777" w:rsidR="009C0687" w:rsidRPr="006424CF" w:rsidRDefault="009C0687" w:rsidP="009C0687">
      <w:pPr>
        <w:ind w:left="426"/>
        <w:rPr>
          <w:sz w:val="20"/>
          <w:szCs w:val="20"/>
        </w:rPr>
      </w:pPr>
    </w:p>
    <w:p w14:paraId="244DD29D" w14:textId="77777777" w:rsidR="009C0687" w:rsidRPr="006424CF" w:rsidRDefault="009C0687" w:rsidP="009C0687">
      <w:pPr>
        <w:ind w:left="426"/>
        <w:rPr>
          <w:sz w:val="20"/>
          <w:szCs w:val="20"/>
        </w:rPr>
      </w:pPr>
    </w:p>
    <w:p w14:paraId="58958FD3" w14:textId="77777777" w:rsidR="009C0687" w:rsidRPr="006424CF" w:rsidRDefault="009C0687" w:rsidP="009C0687">
      <w:pPr>
        <w:ind w:left="426"/>
        <w:rPr>
          <w:sz w:val="20"/>
          <w:szCs w:val="20"/>
        </w:rPr>
      </w:pPr>
    </w:p>
    <w:p w14:paraId="7CBB73BB" w14:textId="77777777" w:rsidR="009C0687" w:rsidRPr="006424CF" w:rsidRDefault="009C0687" w:rsidP="009C0687">
      <w:pPr>
        <w:ind w:left="426"/>
        <w:rPr>
          <w:sz w:val="20"/>
          <w:szCs w:val="20"/>
        </w:rPr>
      </w:pPr>
    </w:p>
    <w:p w14:paraId="3E53C438" w14:textId="77777777" w:rsidR="009C0687" w:rsidRPr="006424CF" w:rsidRDefault="009C0687" w:rsidP="009C0687">
      <w:pPr>
        <w:ind w:left="426"/>
        <w:rPr>
          <w:sz w:val="20"/>
          <w:szCs w:val="20"/>
        </w:rPr>
      </w:pPr>
    </w:p>
    <w:p w14:paraId="2E9B78C7" w14:textId="77777777" w:rsidR="009C0687" w:rsidRPr="006424CF" w:rsidRDefault="009C0687" w:rsidP="009C0687">
      <w:pPr>
        <w:ind w:left="426"/>
        <w:rPr>
          <w:sz w:val="20"/>
          <w:szCs w:val="20"/>
        </w:rPr>
      </w:pPr>
    </w:p>
    <w:p w14:paraId="1D753B5E" w14:textId="77777777" w:rsidR="009C0687" w:rsidRPr="006424CF" w:rsidRDefault="009C0687" w:rsidP="009C0687">
      <w:pPr>
        <w:ind w:left="426"/>
        <w:rPr>
          <w:sz w:val="20"/>
          <w:szCs w:val="20"/>
        </w:rPr>
      </w:pPr>
    </w:p>
    <w:p w14:paraId="35734D28" w14:textId="77777777" w:rsidR="009C0687" w:rsidRPr="006424CF" w:rsidRDefault="009C0687" w:rsidP="009C0687">
      <w:pPr>
        <w:ind w:left="426"/>
        <w:rPr>
          <w:sz w:val="20"/>
          <w:szCs w:val="20"/>
        </w:rPr>
      </w:pPr>
    </w:p>
    <w:p w14:paraId="2363C05D" w14:textId="77777777" w:rsidR="009C0687" w:rsidRPr="006424CF" w:rsidRDefault="009C0687" w:rsidP="009C0687">
      <w:pPr>
        <w:ind w:left="426"/>
        <w:rPr>
          <w:sz w:val="20"/>
          <w:szCs w:val="20"/>
        </w:rPr>
      </w:pPr>
    </w:p>
    <w:p w14:paraId="44D7788A" w14:textId="77777777" w:rsidR="009C0687" w:rsidRPr="006424CF" w:rsidRDefault="009C0687" w:rsidP="009C0687">
      <w:pPr>
        <w:ind w:left="426"/>
        <w:rPr>
          <w:sz w:val="20"/>
          <w:szCs w:val="20"/>
        </w:rPr>
      </w:pPr>
    </w:p>
    <w:p w14:paraId="19382E49" w14:textId="77777777" w:rsidR="009C0687" w:rsidRPr="006424CF" w:rsidRDefault="009C0687" w:rsidP="009C0687">
      <w:pPr>
        <w:ind w:left="426"/>
        <w:rPr>
          <w:sz w:val="20"/>
          <w:szCs w:val="20"/>
        </w:rPr>
      </w:pPr>
    </w:p>
    <w:p w14:paraId="1B546C6E" w14:textId="77777777" w:rsidR="009C0687" w:rsidRPr="006424CF" w:rsidRDefault="009C0687" w:rsidP="009C0687">
      <w:pPr>
        <w:ind w:left="426"/>
        <w:rPr>
          <w:sz w:val="20"/>
          <w:szCs w:val="20"/>
        </w:rPr>
      </w:pPr>
    </w:p>
    <w:p w14:paraId="10D07D7F" w14:textId="77777777" w:rsidR="009C0687" w:rsidRPr="006424CF" w:rsidRDefault="009C0687" w:rsidP="009C0687">
      <w:pPr>
        <w:ind w:left="426"/>
        <w:rPr>
          <w:sz w:val="20"/>
          <w:szCs w:val="20"/>
        </w:rPr>
      </w:pPr>
    </w:p>
    <w:p w14:paraId="296B3A32" w14:textId="77777777" w:rsidR="009C0687" w:rsidRPr="006424CF" w:rsidRDefault="009C0687" w:rsidP="009C0687">
      <w:pPr>
        <w:ind w:left="426"/>
        <w:rPr>
          <w:sz w:val="20"/>
          <w:szCs w:val="20"/>
        </w:rPr>
      </w:pPr>
    </w:p>
    <w:p w14:paraId="11A44777" w14:textId="77777777" w:rsidR="009C0687" w:rsidRPr="006424CF" w:rsidRDefault="009C0687" w:rsidP="009C0687">
      <w:pPr>
        <w:rPr>
          <w:sz w:val="20"/>
          <w:szCs w:val="20"/>
        </w:rPr>
      </w:pPr>
    </w:p>
    <w:p w14:paraId="665655A7" w14:textId="77777777" w:rsidR="009C0687" w:rsidRPr="006424CF" w:rsidRDefault="009C0687" w:rsidP="009C0687">
      <w:pPr>
        <w:ind w:left="426"/>
        <w:rPr>
          <w:sz w:val="20"/>
          <w:szCs w:val="20"/>
        </w:rPr>
      </w:pPr>
    </w:p>
    <w:p w14:paraId="1920D511" w14:textId="77777777" w:rsidR="009C0687" w:rsidRPr="006424CF" w:rsidRDefault="009C0687" w:rsidP="009C0687">
      <w:pPr>
        <w:ind w:left="426"/>
        <w:rPr>
          <w:sz w:val="20"/>
          <w:szCs w:val="20"/>
        </w:rPr>
      </w:pPr>
    </w:p>
    <w:p w14:paraId="1B9AA826" w14:textId="77777777" w:rsidR="009C0687" w:rsidRPr="006424CF" w:rsidRDefault="009C0687" w:rsidP="009C0687">
      <w:pPr>
        <w:ind w:left="426"/>
        <w:rPr>
          <w:sz w:val="20"/>
          <w:szCs w:val="20"/>
        </w:rPr>
      </w:pPr>
    </w:p>
    <w:p w14:paraId="17316B69" w14:textId="77777777" w:rsidR="009C0687" w:rsidRPr="006424CF" w:rsidRDefault="009C0687" w:rsidP="009C0687">
      <w:pPr>
        <w:ind w:left="426"/>
        <w:rPr>
          <w:sz w:val="20"/>
          <w:szCs w:val="20"/>
        </w:rPr>
      </w:pPr>
    </w:p>
    <w:p w14:paraId="5DF2580F" w14:textId="77777777" w:rsidR="009C0687" w:rsidRPr="006424CF" w:rsidRDefault="009C0687" w:rsidP="009C0687">
      <w:pPr>
        <w:ind w:left="426"/>
        <w:rPr>
          <w:sz w:val="20"/>
          <w:szCs w:val="20"/>
        </w:rPr>
      </w:pPr>
    </w:p>
    <w:p w14:paraId="35292B24" w14:textId="77777777" w:rsidR="009C0687" w:rsidRPr="006424CF" w:rsidRDefault="009C0687" w:rsidP="009C0687">
      <w:pPr>
        <w:ind w:left="426"/>
        <w:rPr>
          <w:sz w:val="20"/>
          <w:szCs w:val="20"/>
        </w:rPr>
      </w:pPr>
    </w:p>
    <w:p w14:paraId="0768C8F1" w14:textId="77777777" w:rsidR="009C0687" w:rsidRPr="006424CF" w:rsidRDefault="009C0687" w:rsidP="009C0687">
      <w:pPr>
        <w:ind w:left="426"/>
        <w:rPr>
          <w:sz w:val="20"/>
          <w:szCs w:val="20"/>
        </w:rPr>
      </w:pPr>
    </w:p>
    <w:p w14:paraId="59F17641" w14:textId="77777777" w:rsidR="009C0687" w:rsidRPr="006424CF" w:rsidRDefault="009C0687" w:rsidP="009C0687">
      <w:pPr>
        <w:ind w:left="426"/>
        <w:rPr>
          <w:sz w:val="20"/>
          <w:szCs w:val="20"/>
        </w:rPr>
      </w:pPr>
    </w:p>
    <w:p w14:paraId="1F527801" w14:textId="77777777" w:rsidR="009C0687" w:rsidRPr="006424CF" w:rsidRDefault="009C0687" w:rsidP="009C0687">
      <w:pPr>
        <w:ind w:left="426"/>
        <w:rPr>
          <w:sz w:val="20"/>
          <w:szCs w:val="20"/>
        </w:rPr>
      </w:pPr>
    </w:p>
    <w:p w14:paraId="39D2706B" w14:textId="77777777" w:rsidR="009C0687" w:rsidRPr="006424CF" w:rsidRDefault="009C0687" w:rsidP="009C0687">
      <w:pPr>
        <w:ind w:left="426"/>
        <w:rPr>
          <w:sz w:val="20"/>
          <w:szCs w:val="20"/>
        </w:rPr>
      </w:pPr>
    </w:p>
    <w:p w14:paraId="592F793C" w14:textId="77777777" w:rsidR="009C0687" w:rsidRPr="006424CF" w:rsidRDefault="009C0687" w:rsidP="009C0687">
      <w:pPr>
        <w:ind w:left="426"/>
        <w:rPr>
          <w:sz w:val="20"/>
          <w:szCs w:val="20"/>
        </w:rPr>
      </w:pPr>
    </w:p>
    <w:p w14:paraId="0D4ACDC3" w14:textId="77777777" w:rsidR="009C0687" w:rsidRPr="006424CF" w:rsidRDefault="009C0687" w:rsidP="009C0687">
      <w:pPr>
        <w:ind w:left="426"/>
        <w:rPr>
          <w:sz w:val="20"/>
          <w:szCs w:val="20"/>
        </w:rPr>
      </w:pPr>
    </w:p>
    <w:p w14:paraId="09C478F3" w14:textId="77777777" w:rsidR="009C0687" w:rsidRPr="006424CF" w:rsidRDefault="009C0687" w:rsidP="009C0687">
      <w:pPr>
        <w:ind w:left="426"/>
        <w:rPr>
          <w:sz w:val="20"/>
          <w:szCs w:val="20"/>
        </w:rPr>
      </w:pPr>
    </w:p>
    <w:p w14:paraId="5160C437" w14:textId="77777777" w:rsidR="009C0687" w:rsidRPr="006424CF" w:rsidRDefault="009C0687" w:rsidP="009C0687">
      <w:pPr>
        <w:ind w:left="426"/>
        <w:rPr>
          <w:sz w:val="20"/>
          <w:szCs w:val="20"/>
        </w:rPr>
      </w:pPr>
    </w:p>
    <w:p w14:paraId="085445D4" w14:textId="77777777" w:rsidR="009C0687" w:rsidRPr="006424CF" w:rsidRDefault="009C0687" w:rsidP="009C0687">
      <w:pPr>
        <w:ind w:left="426"/>
        <w:rPr>
          <w:sz w:val="20"/>
          <w:szCs w:val="20"/>
        </w:rPr>
      </w:pPr>
    </w:p>
    <w:p w14:paraId="2407934F" w14:textId="77777777" w:rsidR="009C0687" w:rsidRPr="006424CF" w:rsidRDefault="009C0687" w:rsidP="009C0687">
      <w:pPr>
        <w:ind w:left="426"/>
        <w:rPr>
          <w:sz w:val="20"/>
          <w:szCs w:val="20"/>
        </w:rPr>
      </w:pPr>
    </w:p>
    <w:p w14:paraId="51AB0781" w14:textId="77777777" w:rsidR="009C0687" w:rsidRPr="006424CF" w:rsidRDefault="009C0687" w:rsidP="009C0687">
      <w:pPr>
        <w:ind w:left="426"/>
        <w:rPr>
          <w:sz w:val="20"/>
          <w:szCs w:val="20"/>
        </w:rPr>
      </w:pPr>
    </w:p>
    <w:p w14:paraId="294BB67B" w14:textId="77777777" w:rsidR="009C0687" w:rsidRPr="006424CF" w:rsidRDefault="009C0687" w:rsidP="009C0687">
      <w:pPr>
        <w:ind w:left="426"/>
        <w:rPr>
          <w:sz w:val="20"/>
          <w:szCs w:val="20"/>
        </w:rPr>
      </w:pPr>
    </w:p>
    <w:p w14:paraId="58A4659F" w14:textId="77777777" w:rsidR="009C0687" w:rsidRPr="006424CF" w:rsidRDefault="009C0687" w:rsidP="009C0687">
      <w:pPr>
        <w:ind w:left="426"/>
        <w:rPr>
          <w:sz w:val="20"/>
          <w:szCs w:val="20"/>
        </w:rPr>
      </w:pPr>
    </w:p>
    <w:p w14:paraId="35DB75E8" w14:textId="77777777" w:rsidR="009C0687" w:rsidRPr="006424CF" w:rsidRDefault="009C0687" w:rsidP="009C0687">
      <w:pPr>
        <w:ind w:left="426"/>
        <w:rPr>
          <w:sz w:val="20"/>
          <w:szCs w:val="20"/>
        </w:rPr>
      </w:pPr>
    </w:p>
    <w:p w14:paraId="3F470366" w14:textId="77777777" w:rsidR="009C0687" w:rsidRPr="006424CF" w:rsidRDefault="009C0687" w:rsidP="009C0687">
      <w:pPr>
        <w:ind w:left="426"/>
        <w:rPr>
          <w:sz w:val="20"/>
          <w:szCs w:val="20"/>
        </w:rPr>
      </w:pPr>
    </w:p>
    <w:p w14:paraId="225A29C9" w14:textId="77777777" w:rsidR="009C0687" w:rsidRPr="006424CF" w:rsidRDefault="009C0687" w:rsidP="009C0687">
      <w:pPr>
        <w:ind w:left="426"/>
        <w:rPr>
          <w:sz w:val="20"/>
          <w:szCs w:val="20"/>
        </w:rPr>
      </w:pPr>
    </w:p>
    <w:p w14:paraId="7801D3AA" w14:textId="77777777" w:rsidR="009C0687" w:rsidRPr="006424CF" w:rsidRDefault="009C0687" w:rsidP="009C0687">
      <w:pPr>
        <w:ind w:left="426"/>
        <w:rPr>
          <w:sz w:val="20"/>
          <w:szCs w:val="20"/>
        </w:rPr>
      </w:pPr>
    </w:p>
    <w:p w14:paraId="7922242E" w14:textId="77777777" w:rsidR="009C0687" w:rsidRPr="006424CF" w:rsidRDefault="009C0687" w:rsidP="009C0687">
      <w:pPr>
        <w:ind w:left="426"/>
        <w:rPr>
          <w:sz w:val="20"/>
          <w:szCs w:val="20"/>
        </w:rPr>
      </w:pPr>
    </w:p>
    <w:p w14:paraId="2DD2E9A1" w14:textId="77777777" w:rsidR="009C0687" w:rsidRPr="006424CF" w:rsidRDefault="009C0687" w:rsidP="009C0687">
      <w:pPr>
        <w:ind w:left="426"/>
        <w:rPr>
          <w:sz w:val="20"/>
          <w:szCs w:val="20"/>
        </w:rPr>
      </w:pPr>
    </w:p>
    <w:p w14:paraId="0F599524" w14:textId="77777777" w:rsidR="009C0687" w:rsidRPr="006424CF" w:rsidRDefault="009C0687" w:rsidP="009C0687">
      <w:pPr>
        <w:ind w:left="426"/>
        <w:rPr>
          <w:sz w:val="20"/>
          <w:szCs w:val="20"/>
        </w:rPr>
      </w:pPr>
    </w:p>
    <w:p w14:paraId="7ABB3CC6" w14:textId="77777777" w:rsidR="009C0687" w:rsidRPr="006424CF" w:rsidRDefault="009C0687" w:rsidP="009C0687">
      <w:pPr>
        <w:ind w:left="426"/>
        <w:rPr>
          <w:sz w:val="20"/>
          <w:szCs w:val="20"/>
        </w:rPr>
      </w:pPr>
    </w:p>
    <w:p w14:paraId="7C1768B2" w14:textId="77777777" w:rsidR="009C0687" w:rsidRPr="006424CF" w:rsidRDefault="009C0687" w:rsidP="009C0687">
      <w:pPr>
        <w:ind w:left="426"/>
        <w:rPr>
          <w:sz w:val="20"/>
          <w:szCs w:val="20"/>
        </w:rPr>
      </w:pPr>
    </w:p>
    <w:p w14:paraId="29185CBE" w14:textId="77777777" w:rsidR="009C0687" w:rsidRPr="006424CF" w:rsidRDefault="009C0687" w:rsidP="009C0687">
      <w:pPr>
        <w:ind w:left="426"/>
        <w:rPr>
          <w:sz w:val="20"/>
          <w:szCs w:val="20"/>
        </w:rPr>
      </w:pPr>
    </w:p>
    <w:p w14:paraId="26AAA40A" w14:textId="77777777" w:rsidR="009C0687" w:rsidRPr="006424CF" w:rsidRDefault="009C0687" w:rsidP="009C0687">
      <w:pPr>
        <w:ind w:left="426"/>
        <w:rPr>
          <w:sz w:val="20"/>
          <w:szCs w:val="20"/>
        </w:rPr>
      </w:pPr>
    </w:p>
    <w:p w14:paraId="7B63E441" w14:textId="77777777" w:rsidR="009C0687" w:rsidRPr="006424CF" w:rsidRDefault="009C0687" w:rsidP="009C0687">
      <w:pPr>
        <w:ind w:left="426"/>
        <w:rPr>
          <w:sz w:val="20"/>
          <w:szCs w:val="20"/>
        </w:rPr>
      </w:pPr>
    </w:p>
    <w:p w14:paraId="42387C89" w14:textId="77777777" w:rsidR="009C0687" w:rsidRPr="006424CF" w:rsidRDefault="009C0687" w:rsidP="009C0687">
      <w:pPr>
        <w:ind w:left="426"/>
        <w:rPr>
          <w:sz w:val="20"/>
          <w:szCs w:val="20"/>
        </w:rPr>
      </w:pPr>
    </w:p>
    <w:p w14:paraId="0C0E7568" w14:textId="77777777" w:rsidR="009C0687" w:rsidRPr="006424CF" w:rsidRDefault="009C0687" w:rsidP="009C0687">
      <w:pPr>
        <w:ind w:left="426"/>
        <w:rPr>
          <w:sz w:val="20"/>
          <w:szCs w:val="20"/>
        </w:rPr>
      </w:pPr>
    </w:p>
    <w:p w14:paraId="21BABDE5" w14:textId="77777777" w:rsidR="009C0687" w:rsidRPr="006424CF" w:rsidRDefault="009C0687" w:rsidP="009C0687">
      <w:pPr>
        <w:ind w:left="426"/>
        <w:rPr>
          <w:sz w:val="20"/>
          <w:szCs w:val="20"/>
        </w:rPr>
      </w:pPr>
    </w:p>
    <w:p w14:paraId="1413CCFD" w14:textId="77777777" w:rsidR="009C0687" w:rsidRPr="006424CF" w:rsidRDefault="009C0687" w:rsidP="009C0687">
      <w:pPr>
        <w:ind w:left="426"/>
        <w:rPr>
          <w:sz w:val="20"/>
          <w:szCs w:val="20"/>
        </w:rPr>
      </w:pPr>
    </w:p>
    <w:p w14:paraId="56ABD4BC" w14:textId="77777777" w:rsidR="009C0687" w:rsidRPr="006424CF" w:rsidRDefault="009C0687" w:rsidP="009C0687">
      <w:pPr>
        <w:ind w:left="426"/>
        <w:rPr>
          <w:sz w:val="20"/>
          <w:szCs w:val="20"/>
        </w:rPr>
      </w:pPr>
    </w:p>
    <w:p w14:paraId="190D0D6F" w14:textId="77777777" w:rsidR="009C0687" w:rsidRPr="006424CF" w:rsidRDefault="009C0687" w:rsidP="009C0687">
      <w:pPr>
        <w:ind w:left="426"/>
        <w:rPr>
          <w:sz w:val="20"/>
          <w:szCs w:val="20"/>
        </w:rPr>
      </w:pPr>
    </w:p>
    <w:p w14:paraId="24C92CB3" w14:textId="77777777" w:rsidR="009C0687" w:rsidRPr="006424CF" w:rsidRDefault="009C0687" w:rsidP="009C0687">
      <w:pPr>
        <w:ind w:left="426"/>
        <w:rPr>
          <w:sz w:val="20"/>
          <w:szCs w:val="20"/>
        </w:rPr>
      </w:pPr>
    </w:p>
    <w:p w14:paraId="54C48C8B" w14:textId="77777777" w:rsidR="009C0687" w:rsidRPr="006424CF" w:rsidRDefault="009C0687" w:rsidP="009C0687">
      <w:pPr>
        <w:ind w:left="426"/>
        <w:rPr>
          <w:sz w:val="20"/>
          <w:szCs w:val="20"/>
        </w:rPr>
      </w:pPr>
    </w:p>
    <w:p w14:paraId="13508F35" w14:textId="77777777" w:rsidR="009C0687" w:rsidRPr="006424CF" w:rsidRDefault="009C0687" w:rsidP="009C0687">
      <w:pPr>
        <w:ind w:left="426"/>
        <w:rPr>
          <w:sz w:val="20"/>
          <w:szCs w:val="20"/>
        </w:rPr>
      </w:pPr>
    </w:p>
    <w:p w14:paraId="1492AE83" w14:textId="77777777" w:rsidR="009C0687" w:rsidRPr="006424CF" w:rsidRDefault="009C0687" w:rsidP="009C0687">
      <w:pPr>
        <w:ind w:left="426"/>
        <w:rPr>
          <w:sz w:val="20"/>
          <w:szCs w:val="20"/>
        </w:rPr>
      </w:pPr>
    </w:p>
    <w:p w14:paraId="5A3D8B4A" w14:textId="77777777" w:rsidR="009C0687" w:rsidRPr="006424CF" w:rsidRDefault="009C0687" w:rsidP="009C0687">
      <w:pPr>
        <w:ind w:left="426"/>
        <w:rPr>
          <w:sz w:val="20"/>
          <w:szCs w:val="20"/>
        </w:rPr>
      </w:pPr>
    </w:p>
    <w:p w14:paraId="06157C77" w14:textId="77777777" w:rsidR="009C0687" w:rsidRPr="006424CF" w:rsidRDefault="009C0687" w:rsidP="009C0687">
      <w:pPr>
        <w:ind w:left="426"/>
        <w:rPr>
          <w:sz w:val="20"/>
          <w:szCs w:val="20"/>
        </w:rPr>
      </w:pPr>
    </w:p>
    <w:p w14:paraId="015487E6" w14:textId="77777777" w:rsidR="009C0687" w:rsidRPr="006424CF" w:rsidRDefault="009C0687" w:rsidP="009C0687">
      <w:pPr>
        <w:ind w:left="426"/>
        <w:rPr>
          <w:sz w:val="20"/>
          <w:szCs w:val="20"/>
        </w:rPr>
      </w:pPr>
    </w:p>
    <w:bookmarkEnd w:id="2"/>
    <w:p w14:paraId="5C75CE49" w14:textId="77777777" w:rsidR="00161DAC" w:rsidRPr="006424CF" w:rsidRDefault="00161DAC"/>
    <w:sectPr w:rsidR="00161DAC" w:rsidRPr="006424CF" w:rsidSect="009C0687">
      <w:type w:val="continuous"/>
      <w:pgSz w:w="11906" w:h="16838" w:code="9"/>
      <w:pgMar w:top="1276" w:right="1134" w:bottom="1134" w:left="1701" w:header="709" w:footer="516" w:gutter="0"/>
      <w:pgNumType w:start="15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CFC682" w14:textId="77777777" w:rsidR="00480564" w:rsidRDefault="00480564" w:rsidP="009C0687">
      <w:r>
        <w:separator/>
      </w:r>
    </w:p>
  </w:endnote>
  <w:endnote w:type="continuationSeparator" w:id="0">
    <w:p w14:paraId="3355C789" w14:textId="77777777" w:rsidR="00480564" w:rsidRDefault="00480564" w:rsidP="009C0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67C80A" w14:textId="77777777" w:rsidR="00480564" w:rsidRDefault="00480564" w:rsidP="009C0687">
      <w:r>
        <w:separator/>
      </w:r>
    </w:p>
  </w:footnote>
  <w:footnote w:type="continuationSeparator" w:id="0">
    <w:p w14:paraId="2AC5CD37" w14:textId="77777777" w:rsidR="00480564" w:rsidRDefault="00480564" w:rsidP="009C06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06388032"/>
      <w:docPartObj>
        <w:docPartGallery w:val="Page Numbers (Top of Page)"/>
        <w:docPartUnique/>
      </w:docPartObj>
    </w:sdtPr>
    <w:sdtEndPr>
      <w:rPr>
        <w:noProof/>
      </w:rPr>
    </w:sdtEndPr>
    <w:sdtContent>
      <w:p w14:paraId="5BB0D1BF" w14:textId="77777777" w:rsidR="007C202B" w:rsidRDefault="00952D65">
        <w:pPr>
          <w:pStyle w:val="Header"/>
          <w:jc w:val="right"/>
        </w:pPr>
        <w:r>
          <w:fldChar w:fldCharType="begin"/>
        </w:r>
        <w:r>
          <w:instrText xml:space="preserve"> PAGE   \* MERGEFORMAT </w:instrText>
        </w:r>
        <w:r>
          <w:fldChar w:fldCharType="separate"/>
        </w:r>
        <w:r>
          <w:rPr>
            <w:noProof/>
          </w:rPr>
          <w:t>4</w:t>
        </w:r>
        <w:r>
          <w:rPr>
            <w:noProof/>
          </w:rPr>
          <w:fldChar w:fldCharType="end"/>
        </w:r>
      </w:p>
    </w:sdtContent>
  </w:sdt>
  <w:p w14:paraId="296B7DD4" w14:textId="77777777" w:rsidR="00A425E3" w:rsidRPr="006C2980" w:rsidRDefault="00480564" w:rsidP="00FF0400">
    <w:pPr>
      <w:pStyle w:val="Heade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5BDFBA" w14:textId="1221A577" w:rsidR="009C0687" w:rsidRPr="005C00E5" w:rsidRDefault="009C0687" w:rsidP="009F2FCD">
    <w:pPr>
      <w:pStyle w:val="Footer"/>
      <w:pBdr>
        <w:top w:val="single" w:sz="4" w:space="1" w:color="auto"/>
      </w:pBdr>
      <w:tabs>
        <w:tab w:val="clear" w:pos="9072"/>
        <w:tab w:val="left" w:pos="5578"/>
      </w:tabs>
      <w:rPr>
        <w:sz w:val="22"/>
        <w:szCs w:val="22"/>
        <w:lang w:val="en-US"/>
      </w:rPr>
    </w:pPr>
    <w:r>
      <w:rPr>
        <w:sz w:val="22"/>
        <w:szCs w:val="22"/>
      </w:rPr>
      <w:t>Jurnal Ekonomi dan Bisnis SainsIndo (JEBSI) Vol.</w:t>
    </w:r>
    <w:r w:rsidR="009B519F">
      <w:rPr>
        <w:sz w:val="22"/>
        <w:szCs w:val="22"/>
      </w:rPr>
      <w:t>2</w:t>
    </w:r>
    <w:r>
      <w:rPr>
        <w:sz w:val="22"/>
        <w:szCs w:val="22"/>
      </w:rPr>
      <w:t xml:space="preserve"> No.1 </w:t>
    </w:r>
    <w:r w:rsidR="009F2FCD">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9B7609"/>
    <w:multiLevelType w:val="hybridMultilevel"/>
    <w:tmpl w:val="27622B7A"/>
    <w:lvl w:ilvl="0" w:tplc="330014AA">
      <w:start w:val="1"/>
      <w:numFmt w:val="decimal"/>
      <w:lvlText w:val="%1."/>
      <w:lvlJc w:val="left"/>
      <w:pPr>
        <w:ind w:left="1440" w:hanging="360"/>
      </w:pPr>
      <w:rPr>
        <w:rFonts w:hint="default"/>
        <w:b w:val="0"/>
        <w:bCs w:val="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 w15:restartNumberingAfterBreak="0">
    <w:nsid w:val="1E9E51C2"/>
    <w:multiLevelType w:val="hybridMultilevel"/>
    <w:tmpl w:val="1B3C3CF2"/>
    <w:lvl w:ilvl="0" w:tplc="3F609950">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 w15:restartNumberingAfterBreak="0">
    <w:nsid w:val="29816C36"/>
    <w:multiLevelType w:val="hybridMultilevel"/>
    <w:tmpl w:val="72F47A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A47319D"/>
    <w:multiLevelType w:val="hybridMultilevel"/>
    <w:tmpl w:val="02609D78"/>
    <w:lvl w:ilvl="0" w:tplc="24F4FC06">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377C4088"/>
    <w:multiLevelType w:val="hybridMultilevel"/>
    <w:tmpl w:val="9B9C28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1933C6B"/>
    <w:multiLevelType w:val="hybridMultilevel"/>
    <w:tmpl w:val="DFA6A7A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528D4124"/>
    <w:multiLevelType w:val="hybridMultilevel"/>
    <w:tmpl w:val="3AA41E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0253468"/>
    <w:multiLevelType w:val="hybridMultilevel"/>
    <w:tmpl w:val="3AA41E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38778F5"/>
    <w:multiLevelType w:val="hybridMultilevel"/>
    <w:tmpl w:val="1706AD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FCD65CA"/>
    <w:multiLevelType w:val="hybridMultilevel"/>
    <w:tmpl w:val="1706AD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0A0059C"/>
    <w:multiLevelType w:val="hybridMultilevel"/>
    <w:tmpl w:val="52342640"/>
    <w:lvl w:ilvl="0" w:tplc="DD021B32">
      <w:start w:val="1"/>
      <w:numFmt w:val="decimal"/>
      <w:lvlText w:val="%1."/>
      <w:lvlJc w:val="left"/>
      <w:pPr>
        <w:ind w:left="1146" w:hanging="360"/>
      </w:pPr>
      <w:rPr>
        <w:b w:val="0"/>
        <w:bCs w:val="0"/>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1" w15:restartNumberingAfterBreak="0">
    <w:nsid w:val="76932566"/>
    <w:multiLevelType w:val="multilevel"/>
    <w:tmpl w:val="D91A6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8EB18F4"/>
    <w:multiLevelType w:val="hybridMultilevel"/>
    <w:tmpl w:val="1706AD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2"/>
  </w:num>
  <w:num w:numId="3">
    <w:abstractNumId w:val="6"/>
  </w:num>
  <w:num w:numId="4">
    <w:abstractNumId w:val="9"/>
  </w:num>
  <w:num w:numId="5">
    <w:abstractNumId w:val="4"/>
  </w:num>
  <w:num w:numId="6">
    <w:abstractNumId w:val="7"/>
  </w:num>
  <w:num w:numId="7">
    <w:abstractNumId w:val="8"/>
  </w:num>
  <w:num w:numId="8">
    <w:abstractNumId w:val="10"/>
  </w:num>
  <w:num w:numId="9">
    <w:abstractNumId w:val="3"/>
  </w:num>
  <w:num w:numId="10">
    <w:abstractNumId w:val="1"/>
  </w:num>
  <w:num w:numId="11">
    <w:abstractNumId w:val="0"/>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1"/>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687"/>
    <w:rsid w:val="000278CE"/>
    <w:rsid w:val="001034FF"/>
    <w:rsid w:val="00161DAC"/>
    <w:rsid w:val="001D7C61"/>
    <w:rsid w:val="00201B0E"/>
    <w:rsid w:val="002131E1"/>
    <w:rsid w:val="00232445"/>
    <w:rsid w:val="002379A4"/>
    <w:rsid w:val="00272EDE"/>
    <w:rsid w:val="002B5C5B"/>
    <w:rsid w:val="002C4F32"/>
    <w:rsid w:val="003157E9"/>
    <w:rsid w:val="00315F6E"/>
    <w:rsid w:val="003225F6"/>
    <w:rsid w:val="00366F8A"/>
    <w:rsid w:val="003A3F53"/>
    <w:rsid w:val="003E15D1"/>
    <w:rsid w:val="00480564"/>
    <w:rsid w:val="004D561B"/>
    <w:rsid w:val="004F4A94"/>
    <w:rsid w:val="00502BB6"/>
    <w:rsid w:val="00547D0E"/>
    <w:rsid w:val="00547F24"/>
    <w:rsid w:val="005D7A7E"/>
    <w:rsid w:val="005F67B1"/>
    <w:rsid w:val="006424CF"/>
    <w:rsid w:val="00752676"/>
    <w:rsid w:val="00810257"/>
    <w:rsid w:val="00867A25"/>
    <w:rsid w:val="008744D5"/>
    <w:rsid w:val="00896B26"/>
    <w:rsid w:val="00897E37"/>
    <w:rsid w:val="008A5DA6"/>
    <w:rsid w:val="00915628"/>
    <w:rsid w:val="00920FCA"/>
    <w:rsid w:val="00930D1B"/>
    <w:rsid w:val="00952D65"/>
    <w:rsid w:val="009B519F"/>
    <w:rsid w:val="009C0687"/>
    <w:rsid w:val="009F2FCD"/>
    <w:rsid w:val="009F3DBC"/>
    <w:rsid w:val="00A63CDA"/>
    <w:rsid w:val="00A83529"/>
    <w:rsid w:val="00AB6D13"/>
    <w:rsid w:val="00B026D7"/>
    <w:rsid w:val="00B75C60"/>
    <w:rsid w:val="00C02A86"/>
    <w:rsid w:val="00C26B1D"/>
    <w:rsid w:val="00C91CF4"/>
    <w:rsid w:val="00CA37CD"/>
    <w:rsid w:val="00CB49D5"/>
    <w:rsid w:val="00DD55BF"/>
    <w:rsid w:val="00E33787"/>
    <w:rsid w:val="00E56396"/>
    <w:rsid w:val="00E9524B"/>
    <w:rsid w:val="00F538BA"/>
    <w:rsid w:val="00FA2DE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668E8D"/>
  <w15:chartTrackingRefBased/>
  <w15:docId w15:val="{0B5B0A4C-41CF-41C0-A690-D6891F57C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687"/>
    <w:pPr>
      <w:spacing w:after="0" w:line="240" w:lineRule="auto"/>
    </w:pPr>
    <w:rPr>
      <w:rFonts w:ascii="Times New Roman" w:eastAsia="Times New Roman" w:hAnsi="Times New Roman" w:cs="Times New Roman"/>
      <w:sz w:val="24"/>
      <w:szCs w:val="24"/>
      <w:lang w:val="tr-TR" w:eastAsia="tr-TR"/>
    </w:rPr>
  </w:style>
  <w:style w:type="paragraph" w:styleId="Heading1">
    <w:name w:val="heading 1"/>
    <w:basedOn w:val="Normal"/>
    <w:next w:val="Normal"/>
    <w:link w:val="Heading1Char"/>
    <w:uiPriority w:val="9"/>
    <w:qFormat/>
    <w:rsid w:val="009C0687"/>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en-US" w:eastAsia="en-US"/>
    </w:rPr>
  </w:style>
  <w:style w:type="paragraph" w:styleId="Heading2">
    <w:name w:val="heading 2"/>
    <w:basedOn w:val="Normal"/>
    <w:next w:val="Normal"/>
    <w:link w:val="Heading2Char"/>
    <w:uiPriority w:val="9"/>
    <w:semiHidden/>
    <w:unhideWhenUsed/>
    <w:qFormat/>
    <w:rsid w:val="00CB49D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C0687"/>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0687"/>
    <w:rPr>
      <w:rFonts w:asciiTheme="majorHAnsi" w:eastAsiaTheme="majorEastAsia" w:hAnsiTheme="majorHAnsi" w:cstheme="majorBidi"/>
      <w:color w:val="2F5496" w:themeColor="accent1" w:themeShade="BF"/>
      <w:sz w:val="32"/>
      <w:szCs w:val="32"/>
      <w:lang w:val="en-US"/>
    </w:rPr>
  </w:style>
  <w:style w:type="character" w:customStyle="1" w:styleId="Heading3Char">
    <w:name w:val="Heading 3 Char"/>
    <w:basedOn w:val="DefaultParagraphFont"/>
    <w:link w:val="Heading3"/>
    <w:uiPriority w:val="9"/>
    <w:semiHidden/>
    <w:rsid w:val="009C0687"/>
    <w:rPr>
      <w:rFonts w:asciiTheme="majorHAnsi" w:eastAsiaTheme="majorEastAsia" w:hAnsiTheme="majorHAnsi" w:cstheme="majorBidi"/>
      <w:color w:val="1F3763" w:themeColor="accent1" w:themeShade="7F"/>
      <w:sz w:val="24"/>
      <w:szCs w:val="24"/>
      <w:lang w:val="tr-TR" w:eastAsia="tr-TR"/>
    </w:rPr>
  </w:style>
  <w:style w:type="paragraph" w:styleId="Header">
    <w:name w:val="header"/>
    <w:basedOn w:val="Normal"/>
    <w:link w:val="HeaderChar"/>
    <w:uiPriority w:val="99"/>
    <w:rsid w:val="009C0687"/>
    <w:pPr>
      <w:tabs>
        <w:tab w:val="center" w:pos="4536"/>
        <w:tab w:val="right" w:pos="9072"/>
      </w:tabs>
    </w:pPr>
  </w:style>
  <w:style w:type="character" w:customStyle="1" w:styleId="HeaderChar">
    <w:name w:val="Header Char"/>
    <w:basedOn w:val="DefaultParagraphFont"/>
    <w:link w:val="Header"/>
    <w:uiPriority w:val="99"/>
    <w:rsid w:val="009C0687"/>
    <w:rPr>
      <w:rFonts w:ascii="Times New Roman" w:eastAsia="Times New Roman" w:hAnsi="Times New Roman" w:cs="Times New Roman"/>
      <w:sz w:val="24"/>
      <w:szCs w:val="24"/>
      <w:lang w:val="tr-TR" w:eastAsia="tr-TR"/>
    </w:rPr>
  </w:style>
  <w:style w:type="paragraph" w:styleId="Footer">
    <w:name w:val="footer"/>
    <w:basedOn w:val="Normal"/>
    <w:link w:val="FooterChar"/>
    <w:uiPriority w:val="99"/>
    <w:rsid w:val="009C0687"/>
    <w:pPr>
      <w:tabs>
        <w:tab w:val="center" w:pos="4536"/>
        <w:tab w:val="right" w:pos="9072"/>
      </w:tabs>
    </w:pPr>
  </w:style>
  <w:style w:type="character" w:customStyle="1" w:styleId="FooterChar">
    <w:name w:val="Footer Char"/>
    <w:basedOn w:val="DefaultParagraphFont"/>
    <w:link w:val="Footer"/>
    <w:uiPriority w:val="99"/>
    <w:rsid w:val="009C0687"/>
    <w:rPr>
      <w:rFonts w:ascii="Times New Roman" w:eastAsia="Times New Roman" w:hAnsi="Times New Roman" w:cs="Times New Roman"/>
      <w:sz w:val="24"/>
      <w:szCs w:val="24"/>
      <w:lang w:val="tr-TR" w:eastAsia="tr-TR"/>
    </w:rPr>
  </w:style>
  <w:style w:type="paragraph" w:customStyle="1" w:styleId="AuthorNameHeading">
    <w:name w:val="AuthorNameHeading"/>
    <w:basedOn w:val="Normal"/>
    <w:next w:val="NoSpacing"/>
    <w:link w:val="AuthorNameHeadingChar"/>
    <w:qFormat/>
    <w:rsid w:val="009C0687"/>
    <w:pPr>
      <w:spacing w:after="240"/>
      <w:ind w:left="720" w:hanging="720"/>
    </w:pPr>
    <w:rPr>
      <w:rFonts w:asciiTheme="minorHAnsi" w:eastAsiaTheme="minorHAnsi" w:hAnsiTheme="minorHAnsi" w:cstheme="minorBidi"/>
      <w:b/>
      <w:i/>
      <w:lang w:val="en-US" w:eastAsia="en-US"/>
    </w:rPr>
  </w:style>
  <w:style w:type="character" w:customStyle="1" w:styleId="AuthorNameHeadingChar">
    <w:name w:val="AuthorNameHeading Char"/>
    <w:basedOn w:val="DefaultParagraphFont"/>
    <w:link w:val="AuthorNameHeading"/>
    <w:rsid w:val="009C0687"/>
    <w:rPr>
      <w:b/>
      <w:i/>
      <w:sz w:val="24"/>
      <w:szCs w:val="24"/>
      <w:lang w:val="en-US"/>
    </w:rPr>
  </w:style>
  <w:style w:type="paragraph" w:customStyle="1" w:styleId="AffiliationHeading">
    <w:name w:val="AffiliationHeading"/>
    <w:basedOn w:val="Normal"/>
    <w:qFormat/>
    <w:rsid w:val="009C0687"/>
    <w:pPr>
      <w:jc w:val="center"/>
    </w:pPr>
    <w:rPr>
      <w:rFonts w:asciiTheme="majorHAnsi" w:hAnsiTheme="majorHAnsi"/>
      <w:sz w:val="20"/>
      <w:szCs w:val="20"/>
      <w:lang w:val="en-US" w:eastAsia="en-US"/>
    </w:rPr>
  </w:style>
  <w:style w:type="paragraph" w:styleId="ListParagraph">
    <w:name w:val="List Paragraph"/>
    <w:basedOn w:val="Normal"/>
    <w:uiPriority w:val="34"/>
    <w:qFormat/>
    <w:rsid w:val="009C0687"/>
    <w:pPr>
      <w:ind w:left="720"/>
      <w:contextualSpacing/>
    </w:pPr>
  </w:style>
  <w:style w:type="table" w:customStyle="1" w:styleId="LightGrid-Accent11">
    <w:name w:val="Light Grid - Accent 11"/>
    <w:basedOn w:val="TableNormal"/>
    <w:uiPriority w:val="62"/>
    <w:rsid w:val="009C0687"/>
    <w:pPr>
      <w:spacing w:after="0" w:line="240" w:lineRule="auto"/>
      <w:jc w:val="both"/>
    </w:pPr>
    <w:rPr>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character" w:styleId="Hyperlink">
    <w:name w:val="Hyperlink"/>
    <w:basedOn w:val="DefaultParagraphFont"/>
    <w:uiPriority w:val="99"/>
    <w:unhideWhenUsed/>
    <w:rsid w:val="009C0687"/>
    <w:rPr>
      <w:color w:val="0563C1" w:themeColor="hyperlink"/>
      <w:u w:val="single"/>
    </w:rPr>
  </w:style>
  <w:style w:type="paragraph" w:styleId="NoSpacing">
    <w:name w:val="No Spacing"/>
    <w:uiPriority w:val="1"/>
    <w:qFormat/>
    <w:rsid w:val="009C0687"/>
    <w:pPr>
      <w:spacing w:after="0" w:line="240" w:lineRule="auto"/>
    </w:pPr>
    <w:rPr>
      <w:rFonts w:ascii="Times New Roman" w:eastAsia="Times New Roman" w:hAnsi="Times New Roman" w:cs="Times New Roman"/>
      <w:sz w:val="24"/>
      <w:szCs w:val="24"/>
      <w:lang w:val="tr-TR" w:eastAsia="tr-TR"/>
    </w:rPr>
  </w:style>
  <w:style w:type="paragraph" w:styleId="BalloonText">
    <w:name w:val="Balloon Text"/>
    <w:basedOn w:val="Normal"/>
    <w:link w:val="BalloonTextChar"/>
    <w:uiPriority w:val="99"/>
    <w:semiHidden/>
    <w:unhideWhenUsed/>
    <w:rsid w:val="009C0687"/>
    <w:rPr>
      <w:rFonts w:ascii="Tahoma" w:hAnsi="Tahoma" w:cs="Tahoma"/>
      <w:sz w:val="16"/>
      <w:szCs w:val="16"/>
    </w:rPr>
  </w:style>
  <w:style w:type="character" w:customStyle="1" w:styleId="BalloonTextChar">
    <w:name w:val="Balloon Text Char"/>
    <w:basedOn w:val="DefaultParagraphFont"/>
    <w:link w:val="BalloonText"/>
    <w:uiPriority w:val="99"/>
    <w:semiHidden/>
    <w:rsid w:val="009C0687"/>
    <w:rPr>
      <w:rFonts w:ascii="Tahoma" w:eastAsia="Times New Roman" w:hAnsi="Tahoma" w:cs="Tahoma"/>
      <w:sz w:val="16"/>
      <w:szCs w:val="16"/>
      <w:lang w:val="tr-TR" w:eastAsia="tr-TR"/>
    </w:rPr>
  </w:style>
  <w:style w:type="table" w:customStyle="1" w:styleId="Style3">
    <w:name w:val="Style3"/>
    <w:basedOn w:val="TableSimple1"/>
    <w:uiPriority w:val="99"/>
    <w:rsid w:val="009C0687"/>
    <w:pPr>
      <w:ind w:left="510"/>
    </w:pPr>
    <w:rPr>
      <w:sz w:val="20"/>
      <w:szCs w:val="20"/>
      <w:lang w:val="id-ID" w:eastAsia="en-ID"/>
    </w:rP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1">
    <w:name w:val="Table Simple 1"/>
    <w:basedOn w:val="TableNormal"/>
    <w:uiPriority w:val="99"/>
    <w:semiHidden/>
    <w:unhideWhenUsed/>
    <w:rsid w:val="009C0687"/>
    <w:pPr>
      <w:spacing w:after="0" w:line="240" w:lineRule="auto"/>
    </w:pPr>
    <w:rPr>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Style1">
    <w:name w:val="Style1"/>
    <w:basedOn w:val="TableList3"/>
    <w:uiPriority w:val="99"/>
    <w:rsid w:val="009C0687"/>
    <w:pPr>
      <w:ind w:left="510"/>
    </w:pPr>
    <w:rPr>
      <w:sz w:val="20"/>
      <w:szCs w:val="20"/>
      <w:lang w:val="id-ID" w:eastAsia="en-ID"/>
    </w:rP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C0687"/>
    <w:pPr>
      <w:spacing w:after="0" w:line="240" w:lineRule="auto"/>
    </w:pPr>
    <w:rPr>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UnresolvedMention">
    <w:name w:val="Unresolved Mention"/>
    <w:basedOn w:val="DefaultParagraphFont"/>
    <w:uiPriority w:val="99"/>
    <w:semiHidden/>
    <w:unhideWhenUsed/>
    <w:rsid w:val="009C0687"/>
    <w:rPr>
      <w:color w:val="605E5C"/>
      <w:shd w:val="clear" w:color="auto" w:fill="E1DFDD"/>
    </w:rPr>
  </w:style>
  <w:style w:type="table" w:styleId="TableGrid">
    <w:name w:val="Table Grid"/>
    <w:basedOn w:val="TableNormal"/>
    <w:uiPriority w:val="39"/>
    <w:rsid w:val="009C068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C0687"/>
    <w:pPr>
      <w:spacing w:after="200"/>
    </w:pPr>
    <w:rPr>
      <w:i/>
      <w:iCs/>
      <w:color w:val="44546A" w:themeColor="text2"/>
      <w:sz w:val="18"/>
      <w:szCs w:val="18"/>
    </w:rPr>
  </w:style>
  <w:style w:type="character" w:styleId="PlaceholderText">
    <w:name w:val="Placeholder Text"/>
    <w:basedOn w:val="DefaultParagraphFont"/>
    <w:uiPriority w:val="99"/>
    <w:semiHidden/>
    <w:rsid w:val="009C0687"/>
    <w:rPr>
      <w:color w:val="666666"/>
    </w:rPr>
  </w:style>
  <w:style w:type="paragraph" w:styleId="Bibliography">
    <w:name w:val="Bibliography"/>
    <w:basedOn w:val="Normal"/>
    <w:next w:val="Normal"/>
    <w:uiPriority w:val="37"/>
    <w:unhideWhenUsed/>
    <w:rsid w:val="009C0687"/>
  </w:style>
  <w:style w:type="character" w:customStyle="1" w:styleId="Heading2Char">
    <w:name w:val="Heading 2 Char"/>
    <w:basedOn w:val="DefaultParagraphFont"/>
    <w:link w:val="Heading2"/>
    <w:uiPriority w:val="9"/>
    <w:semiHidden/>
    <w:rsid w:val="00CB49D5"/>
    <w:rPr>
      <w:rFonts w:asciiTheme="majorHAnsi" w:eastAsiaTheme="majorEastAsia" w:hAnsiTheme="majorHAnsi" w:cstheme="majorBidi"/>
      <w:color w:val="2F5496" w:themeColor="accent1" w:themeShade="BF"/>
      <w:sz w:val="26"/>
      <w:szCs w:val="26"/>
      <w:lang w:val="tr-TR" w:eastAsia="tr-TR"/>
    </w:rPr>
  </w:style>
  <w:style w:type="paragraph" w:styleId="NormalWeb">
    <w:name w:val="Normal (Web)"/>
    <w:basedOn w:val="Normal"/>
    <w:uiPriority w:val="99"/>
    <w:semiHidden/>
    <w:unhideWhenUsed/>
    <w:rsid w:val="004D561B"/>
    <w:pPr>
      <w:spacing w:before="100" w:beforeAutospacing="1" w:after="100" w:afterAutospacing="1"/>
    </w:pPr>
    <w:rPr>
      <w:lang w:val="en-ID" w:eastAsia="en-ID"/>
    </w:rPr>
  </w:style>
  <w:style w:type="character" w:styleId="Strong">
    <w:name w:val="Strong"/>
    <w:basedOn w:val="DefaultParagraphFont"/>
    <w:uiPriority w:val="22"/>
    <w:qFormat/>
    <w:rsid w:val="004D56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9359045">
      <w:bodyDiv w:val="1"/>
      <w:marLeft w:val="0"/>
      <w:marRight w:val="0"/>
      <w:marTop w:val="0"/>
      <w:marBottom w:val="0"/>
      <w:divBdr>
        <w:top w:val="none" w:sz="0" w:space="0" w:color="auto"/>
        <w:left w:val="none" w:sz="0" w:space="0" w:color="auto"/>
        <w:bottom w:val="none" w:sz="0" w:space="0" w:color="auto"/>
        <w:right w:val="none" w:sz="0" w:space="0" w:color="auto"/>
      </w:divBdr>
    </w:div>
    <w:div w:id="653796829">
      <w:bodyDiv w:val="1"/>
      <w:marLeft w:val="0"/>
      <w:marRight w:val="0"/>
      <w:marTop w:val="0"/>
      <w:marBottom w:val="0"/>
      <w:divBdr>
        <w:top w:val="none" w:sz="0" w:space="0" w:color="auto"/>
        <w:left w:val="none" w:sz="0" w:space="0" w:color="auto"/>
        <w:bottom w:val="none" w:sz="0" w:space="0" w:color="auto"/>
        <w:right w:val="none" w:sz="0" w:space="0" w:color="auto"/>
      </w:divBdr>
    </w:div>
    <w:div w:id="785779990">
      <w:bodyDiv w:val="1"/>
      <w:marLeft w:val="0"/>
      <w:marRight w:val="0"/>
      <w:marTop w:val="0"/>
      <w:marBottom w:val="0"/>
      <w:divBdr>
        <w:top w:val="none" w:sz="0" w:space="0" w:color="auto"/>
        <w:left w:val="none" w:sz="0" w:space="0" w:color="auto"/>
        <w:bottom w:val="none" w:sz="0" w:space="0" w:color="auto"/>
        <w:right w:val="none" w:sz="0" w:space="0" w:color="auto"/>
      </w:divBdr>
    </w:div>
    <w:div w:id="897667456">
      <w:bodyDiv w:val="1"/>
      <w:marLeft w:val="0"/>
      <w:marRight w:val="0"/>
      <w:marTop w:val="0"/>
      <w:marBottom w:val="0"/>
      <w:divBdr>
        <w:top w:val="none" w:sz="0" w:space="0" w:color="auto"/>
        <w:left w:val="none" w:sz="0" w:space="0" w:color="auto"/>
        <w:bottom w:val="none" w:sz="0" w:space="0" w:color="auto"/>
        <w:right w:val="none" w:sz="0" w:space="0" w:color="auto"/>
      </w:divBdr>
    </w:div>
    <w:div w:id="1050573574">
      <w:bodyDiv w:val="1"/>
      <w:marLeft w:val="0"/>
      <w:marRight w:val="0"/>
      <w:marTop w:val="0"/>
      <w:marBottom w:val="0"/>
      <w:divBdr>
        <w:top w:val="none" w:sz="0" w:space="0" w:color="auto"/>
        <w:left w:val="none" w:sz="0" w:space="0" w:color="auto"/>
        <w:bottom w:val="none" w:sz="0" w:space="0" w:color="auto"/>
        <w:right w:val="none" w:sz="0" w:space="0" w:color="auto"/>
      </w:divBdr>
    </w:div>
    <w:div w:id="1437940965">
      <w:bodyDiv w:val="1"/>
      <w:marLeft w:val="0"/>
      <w:marRight w:val="0"/>
      <w:marTop w:val="0"/>
      <w:marBottom w:val="0"/>
      <w:divBdr>
        <w:top w:val="none" w:sz="0" w:space="0" w:color="auto"/>
        <w:left w:val="none" w:sz="0" w:space="0" w:color="auto"/>
        <w:bottom w:val="none" w:sz="0" w:space="0" w:color="auto"/>
        <w:right w:val="none" w:sz="0" w:space="0" w:color="auto"/>
      </w:divBdr>
    </w:div>
    <w:div w:id="1947275921">
      <w:bodyDiv w:val="1"/>
      <w:marLeft w:val="0"/>
      <w:marRight w:val="0"/>
      <w:marTop w:val="0"/>
      <w:marBottom w:val="0"/>
      <w:divBdr>
        <w:top w:val="none" w:sz="0" w:space="0" w:color="auto"/>
        <w:left w:val="none" w:sz="0" w:space="0" w:color="auto"/>
        <w:bottom w:val="none" w:sz="0" w:space="0" w:color="auto"/>
        <w:right w:val="none" w:sz="0" w:space="0" w:color="auto"/>
      </w:divBdr>
    </w:div>
    <w:div w:id="198642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Vic22</b:Tag>
    <b:SourceType>JournalArticle</b:SourceType>
    <b:Guid>{4F149435-1BEE-4444-8E57-176D4B21E5F1}</b:Guid>
    <b:Title>ANALISIS PENGARUH KEPERCAYAAN, KETERLIBATAN KONSUMEN, DAN KUALITAS PRODUK SERTA DAMPAKNYA TERHADAP KEPUTUSAN PEMBELIAN PRODUK MELALUI SHOPEE LIVE(Studi pada pengguna platformshopee live)</b:Title>
    <b:Year>2022</b:Year>
    <b:Author>
      <b:Author>
        <b:NameList>
          <b:Person>
            <b:Last>Blessa</b:Last>
            <b:First>Victoria</b:First>
            <b:Middle>Andrenita</b:Middle>
          </b:Person>
          <b:Person>
            <b:Last>Indriani</b:Last>
            <b:First>Farida</b:First>
          </b:Person>
        </b:NameList>
      </b:Author>
    </b:Author>
    <b:JournalName>DIPONEGORO JOURNAL OF MANAGEMENT</b:JournalName>
    <b:Pages>1</b:Pages>
    <b:RefOrder>1</b:RefOrder>
  </b:Source>
  <b:Source>
    <b:Tag>Hep18</b:Tag>
    <b:SourceType>JournalArticle</b:SourceType>
    <b:Guid>{D773F48D-9C7C-4D1F-AD1A-2DC00B57B8A4}</b:Guid>
    <b:Author>
      <b:Author>
        <b:NameList>
          <b:Person>
            <b:Last>Heping He</b:Last>
            <b:First>Monika</b:First>
            <b:Middle>Kukar Kinney, Nancy Ridgway</b:Middle>
          </b:Person>
        </b:NameList>
      </b:Author>
    </b:Author>
    <b:Title>Compulsive buying in China: Measurement, prevalence, and online drivers</b:Title>
    <b:JournalName>Journal of Business Research</b:JournalName>
    <b:Year>2018</b:Year>
    <b:Pages>28-39</b:Pages>
    <b:RefOrder>2</b:RefOrder>
  </b:Source>
  <b:Source>
    <b:Tag>MSS23</b:Tag>
    <b:SourceType>JournalArticle</b:SourceType>
    <b:Guid>{6122D869-C6E9-4F0D-88B8-180301B32372}</b:Guid>
    <b:Author>
      <b:Author>
        <b:NameList>
          <b:Person>
            <b:Last>M.S. Singh</b:Last>
            <b:First>A.K.</b:First>
            <b:Middle>Mishra, S.K. Singh</b:Middle>
          </b:Person>
        </b:NameList>
      </b:Author>
    </b:Author>
    <b:Title>Impulsive Buying Behaviour among Indian Consumers: A Study of Factors and Consequences</b:Title>
    <b:JournalName>Journal of Indian Academy</b:JournalName>
    <b:Year>2023</b:Year>
    <b:RefOrder>3</b:RefOrder>
  </b:Source>
  <b:Source>
    <b:Tag>Meg22</b:Tag>
    <b:SourceType>JournalArticle</b:SourceType>
    <b:Guid>{CA33007E-6A39-46D3-818D-FD616566EE05}</b:Guid>
    <b:Author>
      <b:Author>
        <b:NameList>
          <b:Person>
            <b:Last>Ningtyas</b:Last>
            <b:First>Mega</b:First>
            <b:Middle>Noerman</b:Middle>
          </b:Person>
          <b:Person>
            <b:Last>Vania</b:Last>
            <b:First>Amelindha</b:First>
          </b:Person>
        </b:NameList>
      </b:Author>
    </b:Author>
    <b:Title>Materialism, Financial Literacy, and Online Impulsive Buying: A Study on the Post Millennial Generation in a Pandemic Period</b:Title>
    <b:JournalName>Journal of Theoretical and Applied Management</b:JournalName>
    <b:Year>2022</b:Year>
    <b:RefOrder>4</b:RefOrder>
  </b:Source>
  <b:Source>
    <b:Tag>Don16</b:Tag>
    <b:SourceType>Book</b:SourceType>
    <b:Guid>{535B0AC9-9B25-44A6-8A3C-E079D1372F82}</b:Guid>
    <b:Title>Consumer Behavior</b:Title>
    <b:Year>2016</b:Year>
    <b:Author>
      <b:Author>
        <b:NameList>
          <b:Person>
            <b:Last>Donavan</b:Last>
          </b:Person>
          <b:Person>
            <b:Last>Minor</b:Last>
          </b:Person>
          <b:Person>
            <b:Last>Mowen</b:Last>
          </b:Person>
        </b:NameList>
      </b:Author>
    </b:Author>
    <b:Publisher>Chicago Business Press</b:Publisher>
    <b:RefOrder>5</b:RefOrder>
  </b:Source>
  <b:Source>
    <b:Tag>Mic08</b:Tag>
    <b:SourceType>Book</b:SourceType>
    <b:Guid>{1811BCC0-0FE4-4DF4-BBF1-13A0910D435C}</b:Guid>
    <b:Author>
      <b:Author>
        <b:NameList>
          <b:Person>
            <b:Last>Solomon</b:Last>
            <b:First>Michael</b:First>
            <b:Middle>R</b:Middle>
          </b:Person>
          <b:Person>
            <b:Last>Rabolt</b:Last>
            <b:First>Nancy</b:First>
            <b:Middle>J</b:Middle>
          </b:Person>
        </b:NameList>
      </b:Author>
    </b:Author>
    <b:Title>Consumer Behavior in Fashion 2nd Edition</b:Title>
    <b:Year>2008</b:Year>
    <b:Publisher>Prentice Hall</b:Publisher>
    <b:RefOrder>6</b:RefOrder>
  </b:Source>
  <b:Source>
    <b:Tag>Hen07</b:Tag>
    <b:SourceType>Book</b:SourceType>
    <b:Guid>{AE159068-7E50-45FF-8BDA-AE028DA31775}</b:Guid>
    <b:Author>
      <b:Author>
        <b:NameList>
          <b:Person>
            <b:Last>Murray</b:Last>
            <b:First>Henry</b:First>
            <b:Middle>A</b:Middle>
          </b:Person>
          <b:Person>
            <b:Last>McAdams</b:Last>
          </b:Person>
        </b:NameList>
      </b:Author>
    </b:Author>
    <b:Title>Explorations in Personality</b:Title>
    <b:Year>2007</b:Year>
    <b:Publisher>Oxford University Press</b:Publisher>
    <b:RefOrder>7</b:RefOrder>
  </b:Source>
  <b:Source>
    <b:Tag>Shi22</b:Tag>
    <b:SourceType>JournalArticle</b:SourceType>
    <b:Guid>{3C09B23B-7353-4E68-8060-1F6162465C5D}</b:Guid>
    <b:Author>
      <b:Author>
        <b:NameList>
          <b:Person>
            <b:Last>Primadewi</b:Last>
            <b:First>Shinta</b:First>
          </b:Person>
          <b:Person>
            <b:Last>Fitriasari</b:Last>
            <b:First>Wiwik</b:First>
          </b:Person>
          <b:Person>
            <b:Last>Adhysti</b:Last>
            <b:First>Kallista</b:First>
          </b:Person>
        </b:NameList>
      </b:Author>
    </b:Author>
    <b:Title>Analisis Faktor Yang Mempengaruhi Pembelian Impulse Pada Live Streaming E-Commerce Berdasarkan SOR (Stimulus Organism Response) Framework</b:Title>
    <b:JournalName>Jurnal Sosial dan Teknologi (SOSTECH)</b:JournalName>
    <b:Year>2022</b:Year>
    <b:RefOrder>8</b:RefOrder>
  </b:Source>
  <b:Source>
    <b:Tag>Raf21</b:Tag>
    <b:SourceType>JournalArticle</b:SourceType>
    <b:Guid>{B1D5E0F8-F280-47E8-9CCE-356155A6623E}</b:Guid>
    <b:Author>
      <b:Author>
        <b:NameList>
          <b:Person>
            <b:Last>Ulfa</b:Last>
            <b:First>Rafika</b:First>
          </b:Person>
        </b:NameList>
      </b:Author>
    </b:Author>
    <b:Title>VARIABEL PENELITIAN DALAM PENELITIAN PENDIDIKAN</b:Title>
    <b:JournalName>Al-Fathonah : Jurnal Pendidikan dan Keislaman</b:JournalName>
    <b:Year>2021</b:Year>
    <b:Pages>342-351</b:Pages>
    <b:RefOrder>9</b:RefOrder>
  </b:Source>
  <b:Source>
    <b:Tag>Luh22</b:Tag>
    <b:SourceType>JournalArticle</b:SourceType>
    <b:Guid>{A5C2C5C7-A16B-4B83-80D1-B6559886B97C}</b:Guid>
    <b:Author>
      <b:Author>
        <b:NameList>
          <b:Person>
            <b:Last>Hartini</b:Last>
            <b:First>Luh</b:First>
            <b:Middle>Putu Yuni</b:Middle>
          </b:Person>
          <b:Person>
            <b:Last>Suarmanayasa</b:Last>
            <b:First>I</b:First>
            <b:Middle>Nengah</b:Middle>
          </b:Person>
          <b:Person>
            <b:Last>Sinarwati</b:Last>
            <b:First>Ni</b:First>
            <b:Middle>Kadek</b:Middle>
          </b:Person>
        </b:NameList>
      </b:Author>
    </b:Author>
    <b:Title>The Influence of Internal and External Factors on Investment Decisions with Financial Literature asModerate Variables</b:Title>
    <b:JournalName>International Journal of Social Science and Business </b:JournalName>
    <b:Year>2022</b:Year>
    <b:Pages>91-102</b:Pages>
    <b:RefOrder>10</b:RefOrder>
  </b:Source>
  <b:Source>
    <b:Tag>Aba19</b:Tag>
    <b:SourceType>JournalArticle</b:SourceType>
    <b:Guid>{34759A6A-D31A-445F-898C-44C6C10A012C}</b:Guid>
    <b:Author>
      <b:Author>
        <b:NameList>
          <b:Person>
            <b:Last>Zafar</b:Last>
            <b:First>Abaid</b:First>
            <b:Middle>Ullah</b:Middle>
          </b:Person>
          <b:Person>
            <b:Last>Qiu</b:Last>
            <b:First>Jiangnan</b:First>
          </b:Person>
          <b:Person>
            <b:Last>Li</b:Last>
            <b:First>Ying</b:First>
          </b:Person>
          <b:Person>
            <b:Last>Wang</b:Last>
            <b:First>Jingguo</b:First>
          </b:Person>
          <b:Person>
            <b:Last>Shahzad</b:Last>
            <b:First>Mohsin</b:First>
          </b:Person>
        </b:NameList>
      </b:Author>
    </b:Author>
    <b:Title>The impact of social media celebrities' posts and contextual interactions on impulse buying in social commerce</b:Title>
    <b:JournalName>Journal Pre-proof</b:JournalName>
    <b:Year>2019</b:Year>
    <b:RefOrder>11</b:RefOrder>
  </b:Source>
  <b:Source>
    <b:Tag>IGu18</b:Tag>
    <b:SourceType>JournalArticle</b:SourceType>
    <b:Guid>{4980DC17-09E3-43F4-82F1-632002C515F0}</b:Guid>
    <b:Title>INTENSI MASYARAKAT BERINVESTASI PADAPEER TO PEERLENDING: ANALISIS THEORY OF PLANNED BEHAVIOR</b:Title>
    <b:Year>2018</b:Year>
    <b:Author>
      <b:Author>
        <b:NameList>
          <b:Person>
            <b:Last>Dewi</b:Last>
            <b:First>I</b:First>
            <b:Middle>Gusti Ayu Agung Pradnya</b:Middle>
          </b:Person>
        </b:NameList>
      </b:Author>
    </b:Author>
    <b:JournalName>Jurnal Ilmiah Akuntansi &amp; Bisnis</b:JournalName>
    <b:RefOrder>12</b:RefOrder>
  </b:Source>
  <b:Source>
    <b:Tag>Mar18</b:Tag>
    <b:SourceType>JournalArticle</b:SourceType>
    <b:Guid>{8D3F9A2E-9C25-424C-9AC2-78CEEEBCCA3F}</b:Guid>
    <b:Title>A Novel Measure of Effect Size for Mediation Analysis</b:Title>
    <b:Year>2018</b:Year>
    <b:Author>
      <b:Author>
        <b:NameList>
          <b:Person>
            <b:Last>Lachowicz</b:Last>
            <b:First>Mark</b:First>
            <b:Middle>J.</b:Middle>
          </b:Person>
          <b:Person>
            <b:Last>Preacher</b:Last>
            <b:First>Kristopher</b:First>
            <b:Middle>J.</b:Middle>
          </b:Person>
        </b:NameList>
      </b:Author>
    </b:Author>
    <b:JournalName>American Psychological Association</b:JournalName>
    <b:Pages>251</b:Pages>
    <b:RefOrder>13</b:RefOrder>
  </b:Source>
  <b:Source>
    <b:Tag>Apr19</b:Tag>
    <b:SourceType>JournalArticle</b:SourceType>
    <b:Guid>{72A7A326-889C-437E-9946-9EC4636BC3B4}</b:Guid>
    <b:Author>
      <b:Author>
        <b:NameList>
          <b:Person>
            <b:Last>Anggraeni</b:Last>
            <b:First>Aprilia</b:First>
            <b:Middle>Aldiya</b:Middle>
          </b:Person>
        </b:NameList>
      </b:Author>
    </b:Author>
    <b:Title>Pengaruh Financial Literacy dan Financial Attitude terhadap Financial Management Behavior</b:Title>
    <b:JournalName>Prosiding Manajemen</b:JournalName>
    <b:Year>2019</b:Year>
    <b:Pages>87</b:Pages>
    <b:RefOrder>14</b:RefOrder>
  </b:Source>
  <b:Source>
    <b:Tag>Kur20</b:Tag>
    <b:SourceType>JournalArticle</b:SourceType>
    <b:Guid>{69DA9FFF-594B-4278-8457-41DD8DA5B5DD}</b:Guid>
    <b:Author>
      <b:Author>
        <b:NameList>
          <b:Person>
            <b:Last>Kurniawan</b:Last>
          </b:Person>
          <b:Person>
            <b:Last>Anjarwati</b:Last>
          </b:Person>
        </b:NameList>
      </b:Author>
    </b:Author>
    <b:Title>Pengaruh Financial Literacy, Financial Behaviour, financial Attitude, dan demografi teradap perilaku konsumtif</b:Title>
    <b:JournalName>LPPMUntag Surabaya</b:JournalName>
    <b:Year>2020</b:Year>
    <b:RefOrder>15</b:RefOrder>
  </b:Source>
  <b:Source>
    <b:Tag>Dew19</b:Tag>
    <b:SourceType>JournalArticle</b:SourceType>
    <b:Guid>{253ACF3C-D528-4B8F-BE99-82F27F00D078}</b:Guid>
    <b:Author>
      <b:Author>
        <b:NameList>
          <b:Person>
            <b:Last>Dewi</b:Last>
          </b:Person>
          <b:Person>
            <b:Last>Susanti</b:Last>
          </b:Person>
        </b:NameList>
      </b:Author>
    </b:Author>
    <b:Title>Pengaruh Attitude terhadap Impulse Buying Behavior</b:Title>
    <b:JournalName>Jurnal Ekonomi dan Bisnis</b:JournalName>
    <b:Year>2019</b:Year>
    <b:Pages>13</b:Pages>
    <b:RefOrder>16</b:RefOrder>
  </b:Source>
  <b:Source>
    <b:Tag>Wij20</b:Tag>
    <b:SourceType>JournalArticle</b:SourceType>
    <b:Guid>{8D1EE03D-2FDC-4FDB-9AEA-DB877BF66367}</b:Guid>
    <b:Author>
      <b:Author>
        <b:NameList>
          <b:Person>
            <b:Last>Wijayanti</b:Last>
          </b:Person>
        </b:NameList>
      </b:Author>
    </b:Author>
    <b:Title>Pengaruh Financial Literacy dan Financial Attitude terhadap Financial Behavior pada Mahasiswa Universitas Muhammadiyah Malang</b:Title>
    <b:JournalName>Jurnal Ilmu Manajemen</b:JournalName>
    <b:Year>2020</b:Year>
    <b:Pages>10</b:Pages>
    <b:RefOrder>17</b:RefOrder>
  </b:Source>
  <b:Source>
    <b:Tag>Raf19</b:Tag>
    <b:SourceType>JournalArticle</b:SourceType>
    <b:Guid>{09B0A911-54D9-415A-A27C-FB7C610BA8B6}</b:Guid>
    <b:Author>
      <b:Author>
        <b:NameList>
          <b:Person>
            <b:Last>Asaff</b:Last>
            <b:First>Rafiqah</b:First>
          </b:Person>
          <b:Person>
            <b:Last>Suryati</b:Last>
          </b:Person>
          <b:Person>
            <b:Last>Rahmayani</b:Last>
            <b:First>Rika</b:First>
          </b:Person>
        </b:NameList>
      </b:Author>
    </b:Author>
    <b:Title>Pengaruh Financial Literacy Terhadap Impulse Buying Behavior Melalui Attitude Sebagai Variabel Mediasi</b:Title>
    <b:JournalName>urnal Ilmiah Akuntansi dan Keuangan</b:JournalName>
    <b:Year>2019</b:Year>
    <b:Pages>161</b:Pages>
    <b:RefOrder>18</b:RefOrder>
  </b:Source>
  <b:Source>
    <b:Tag>Ima231</b:Tag>
    <b:SourceType>Book</b:SourceType>
    <b:Guid>{6EC73DEC-5217-44B0-A618-DAF44EB5055C}</b:Guid>
    <b:Author>
      <b:Author>
        <b:NameList>
          <b:Person>
            <b:Last>Ghozali</b:Last>
            <b:First>Imam</b:First>
          </b:Person>
        </b:NameList>
      </b:Author>
    </b:Author>
    <b:Title>Partial Least Square Konsep, Teknik dan Aplikasi menggunakan Program SmartPLS 4,0 untuk Penelitian Empiris</b:Title>
    <b:Year>2023</b:Year>
    <b:City>Semarang</b:City>
    <b:Publisher>Penerbit Yoga Pratama</b:Publisher>
    <b:RefOrder>19</b:RefOrder>
  </b:Source>
  <b:Source>
    <b:Tag>And23</b:Tag>
    <b:SourceType>Book</b:SourceType>
    <b:Guid>{DC3F371E-A22C-456A-8CBC-11802D58F8E4}</b:Guid>
    <b:Title>FAKTOR YANG MEMPENGARUHI ONLINE IMPULSE BUYING DAN DAMPAKNYA TERHADAP POST-PURCHASE DISSONANCE</b:Title>
    <b:Year>2023</b:Year>
    <b:City>Bandung</b:City>
    <b:Publisher>Telkom University</b:Publisher>
    <b:Author>
      <b:Author>
        <b:NameList>
          <b:Person>
            <b:Last>Andriani</b:Last>
          </b:Person>
        </b:NameList>
      </b:Author>
    </b:Author>
    <b:RefOrder>20</b:RefOrder>
  </b:Source>
</b:Sources>
</file>

<file path=customXml/itemProps1.xml><?xml version="1.0" encoding="utf-8"?>
<ds:datastoreItem xmlns:ds="http://schemas.openxmlformats.org/officeDocument/2006/customXml" ds:itemID="{971CF0E5-2183-4E31-ADBE-D6C29CE13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12</Pages>
  <Words>4884</Words>
  <Characters>27840</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56</cp:revision>
  <dcterms:created xsi:type="dcterms:W3CDTF">2025-12-17T23:35:00Z</dcterms:created>
  <dcterms:modified xsi:type="dcterms:W3CDTF">2026-01-06T02:51:00Z</dcterms:modified>
</cp:coreProperties>
</file>